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DejaVu Sans" w:hAnsi="DejaVu Sans"/>
          <w:b/>
          <w:color w:val="0F2D5A"/>
          <w:sz w:val="40"/>
        </w:rPr>
        <w:t>KLT 5.01 ALPHA</w:t>
      </w:r>
    </w:p>
    <w:p>
      <w:pPr>
        <w:jc w:val="center"/>
      </w:pPr>
      <w:r>
        <w:rPr>
          <w:rFonts w:ascii="DejaVu Sans" w:hAnsi="DejaVu Sans"/>
          <w:b/>
          <w:color w:val="143C78"/>
          <w:sz w:val="32"/>
        </w:rPr>
        <w:t>Итоговый проектно-финансовый лямбда-чек-аудит</w:t>
      </w:r>
    </w:p>
    <w:p>
      <w:pPr>
        <w:jc w:val="center"/>
      </w:pPr>
      <w:r>
        <w:rPr>
          <w:rFonts w:ascii="DejaVu Sans" w:hAnsi="DejaVu Sans"/>
          <w:color w:val="505050"/>
          <w:sz w:val="20"/>
        </w:rPr>
        <w:t>Фирменный бланк KLT 5.01 для смет, договоров, тендеров, бухгалтерии, банка и логистики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rPr>
          <w:cantSplit/>
        </w:trPr>
        <w:tc>
          <w:tcPr>
            <w:tcW w:type="dxa" w:w="10656"/>
            <w:shd w:fill="EAF2F8"/>
          </w:tcPr>
          <w:p>
            <w:pPr>
              <w:jc w:val="left"/>
            </w:pPr>
            <w:r>
              <w:rPr>
                <w:rFonts w:ascii="DejaVu Sans" w:hAnsi="DejaVu Sans"/>
                <w:b/>
                <w:sz w:val="18"/>
              </w:rPr>
              <w:t>Демонстрационный и рекомендательный аналитический бланк. Документ показывает применение математического метода KLT 5.01 и не является юридическим обвинением, судебной экспертизой или обязательным заключением без верификации профильным экспертом.</w:t>
            </w:r>
          </w:p>
        </w:tc>
      </w:tr>
    </w:tbl>
    <w:p>
      <w:pPr>
        <w:pStyle w:val="Heading1"/>
      </w:pPr>
      <w:r>
        <w:t>1. Паспорт проверки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cantSplit/>
        </w:trPr>
        <w:tc>
          <w:tcPr>
            <w:tcW w:type="dxa" w:w="3456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Поле</w:t>
            </w:r>
          </w:p>
        </w:tc>
        <w:tc>
          <w:tcPr>
            <w:tcW w:type="dxa" w:w="6912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Значение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ID проверки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KLT501-YYYYMMDD-0001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Дата формирования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____.__.2026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Проверяющий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ФИО / логин: ____________________________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E-mail проверяющего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____________________________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Организация / подразделение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____________________________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Объект анализа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Наименование проекта / закупки / договора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Заказчик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____________________________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Исполнитель / подрядчик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____________________________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НМЦК / бюджет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____________________________ руб.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Цена договора / контракта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____________________________ руб.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Период документов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 __.__.____ по __.__.____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Сайт метода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www.wpc-wpo.narod.ru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Автор метода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Курпишев Иван Борисович</w:t>
            </w:r>
          </w:p>
        </w:tc>
      </w:tr>
    </w:tbl>
    <w:p/>
    <w:p>
      <w:pPr>
        <w:pStyle w:val="Heading1"/>
      </w:pPr>
      <w:r>
        <w:t>2. Принятые на анализ документы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76"/>
        <w:gridCol w:w="1776"/>
        <w:gridCol w:w="1776"/>
        <w:gridCol w:w="1776"/>
        <w:gridCol w:w="1776"/>
        <w:gridCol w:w="1776"/>
      </w:tblGrid>
      <w:tr>
        <w:trPr>
          <w:cantSplit/>
        </w:trPr>
        <w:tc>
          <w:tcPr>
            <w:tcW w:type="dxa" w:w="576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N</w:t>
            </w:r>
          </w:p>
        </w:tc>
        <w:tc>
          <w:tcPr>
            <w:tcW w:type="dxa" w:w="2160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Тип документа</w:t>
            </w:r>
          </w:p>
        </w:tc>
        <w:tc>
          <w:tcPr>
            <w:tcW w:type="dxa" w:w="2592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Файл / источник</w:t>
            </w:r>
          </w:p>
        </w:tc>
        <w:tc>
          <w:tcPr>
            <w:tcW w:type="dxa" w:w="1008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Дата</w:t>
            </w:r>
          </w:p>
        </w:tc>
        <w:tc>
          <w:tcPr>
            <w:tcW w:type="dxa" w:w="2448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Статус извлечения</w:t>
            </w:r>
          </w:p>
        </w:tc>
        <w:tc>
          <w:tcPr>
            <w:tcW w:type="dxa" w:w="1584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Hash / ID</w:t>
            </w:r>
          </w:p>
        </w:tc>
      </w:tr>
      <w:tr>
        <w:trPr>
          <w:cantSplit/>
        </w:trPr>
        <w:tc>
          <w:tcPr>
            <w:tcW w:type="dxa" w:w="57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1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Техническое задание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________________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OK / OCR / ручная проверка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</w:t>
            </w:r>
          </w:p>
        </w:tc>
      </w:tr>
      <w:tr>
        <w:trPr>
          <w:cantSplit/>
        </w:trPr>
        <w:tc>
          <w:tcPr>
            <w:tcW w:type="dxa" w:w="57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2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Смета / XLSX / PDF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________________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OK / OCR / ручная проверка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</w:t>
            </w:r>
          </w:p>
        </w:tc>
      </w:tr>
      <w:tr>
        <w:trPr>
          <w:cantSplit/>
        </w:trPr>
        <w:tc>
          <w:tcPr>
            <w:tcW w:type="dxa" w:w="57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3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Договор / контракт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________________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OK / OCR / ручная проверка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</w:t>
            </w:r>
          </w:p>
        </w:tc>
      </w:tr>
      <w:tr>
        <w:trPr>
          <w:cantSplit/>
        </w:trPr>
        <w:tc>
          <w:tcPr>
            <w:tcW w:type="dxa" w:w="57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4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Акты / КС-2 / КС-3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________________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OK / OCR / ручная проверка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</w:t>
            </w:r>
          </w:p>
        </w:tc>
      </w:tr>
      <w:tr>
        <w:trPr>
          <w:cantSplit/>
        </w:trPr>
        <w:tc>
          <w:tcPr>
            <w:tcW w:type="dxa" w:w="57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5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Платежи / банк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________________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OK / OCR / ручная проверка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</w:t>
            </w:r>
          </w:p>
        </w:tc>
      </w:tr>
      <w:tr>
        <w:trPr>
          <w:cantSplit/>
        </w:trPr>
        <w:tc>
          <w:tcPr>
            <w:tcW w:type="dxa" w:w="57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6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Бухгалтерские документы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________________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OK / OCR / ручная проверка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</w:t>
            </w:r>
          </w:p>
        </w:tc>
      </w:tr>
      <w:tr>
        <w:trPr>
          <w:cantSplit/>
        </w:trPr>
        <w:tc>
          <w:tcPr>
            <w:tcW w:type="dxa" w:w="57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7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Логистика / склад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________________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OK / OCR / ручная проверка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________</w:t>
            </w:r>
          </w:p>
        </w:tc>
      </w:tr>
    </w:tbl>
    <w:p/>
    <w:p>
      <w:r>
        <w:br w:type="page"/>
      </w:r>
    </w:p>
    <w:p>
      <w:pPr>
        <w:pStyle w:val="Heading1"/>
      </w:pPr>
      <w:r>
        <w:t>3. Сводная оценка KLT 5.01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rPr>
          <w:cantSplit/>
        </w:trPr>
        <w:tc>
          <w:tcPr>
            <w:tcW w:type="dxa" w:w="2448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Показатель</w:t>
            </w:r>
          </w:p>
        </w:tc>
        <w:tc>
          <w:tcPr>
            <w:tcW w:type="dxa" w:w="2016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Значение</w:t>
            </w:r>
          </w:p>
        </w:tc>
        <w:tc>
          <w:tcPr>
            <w:tcW w:type="dxa" w:w="6048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Интерпретация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Lambda_project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Интегральное значение lambda по пакету. Цель - приближение к гармоническому замыканию lambda -&gt; -1.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Delta_project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Средний дефект: Delta = |lambda + 1|.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Auth_project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Авторизованность проекта: 1/(1+Delta).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Риск удорожания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 руб. / _____ %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Зона потенциально необоснованного удорожания.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Риск занижения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 руб. / _____ %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Зона демпинга, недофинансирования или невыполнимости.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Риск срыва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 / 100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Риск крушения проекта из-за ресурсов, сроков, денег или доказательств.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Антикоррупционный риск-флаг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 / 100</w:t>
            </w:r>
          </w:p>
        </w:tc>
        <w:tc>
          <w:tcPr>
            <w:tcW w:type="dxa" w:w="604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Не обвинение. Основание для проверки документов и решений.</w:t>
            </w:r>
          </w:p>
        </w:tc>
      </w:tr>
    </w:tbl>
    <w:p/>
    <w:p>
      <w:r>
        <w:drawing>
          <wp:inline xmlns:a="http://schemas.openxmlformats.org/drawingml/2006/main" xmlns:pic="http://schemas.openxmlformats.org/drawingml/2006/picture">
            <wp:extent cx="6309360" cy="252374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lt501_evidence_chai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252374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DejaVu Sans" w:hAnsi="DejaVu Sans"/>
          <w:i/>
          <w:color w:val="5A5A5A"/>
          <w:sz w:val="16"/>
        </w:rPr>
        <w:t>Рисунок 1. Проверяемая цепочка доказательств</w:t>
      </w:r>
    </w:p>
    <w:p>
      <w:pPr>
        <w:pStyle w:val="Heading1"/>
      </w:pPr>
      <w:r>
        <w:t>4. Reперная матрица проекта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76"/>
        <w:gridCol w:w="1776"/>
        <w:gridCol w:w="1776"/>
        <w:gridCol w:w="1776"/>
        <w:gridCol w:w="1776"/>
        <w:gridCol w:w="1776"/>
      </w:tblGrid>
      <w:tr>
        <w:trPr>
          <w:cantSplit/>
        </w:trPr>
        <w:tc>
          <w:tcPr>
            <w:tcW w:type="dxa" w:w="1728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Блок</w:t>
            </w:r>
          </w:p>
        </w:tc>
        <w:tc>
          <w:tcPr>
            <w:tcW w:type="dxa" w:w="1728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U - требования</w:t>
            </w:r>
          </w:p>
        </w:tc>
        <w:tc>
          <w:tcPr>
            <w:tcW w:type="dxa" w:w="1728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I - логика</w:t>
            </w:r>
          </w:p>
        </w:tc>
        <w:tc>
          <w:tcPr>
            <w:tcW w:type="dxa" w:w="1728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R - факты/ресурсы</w:t>
            </w:r>
          </w:p>
        </w:tc>
        <w:tc>
          <w:tcPr>
            <w:tcW w:type="dxa" w:w="1728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D - основания</w:t>
            </w:r>
          </w:p>
        </w:tc>
        <w:tc>
          <w:tcPr>
            <w:tcW w:type="dxa" w:w="1728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Оценка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ТЗ / потребность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Смета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Договор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Исполнение / акты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Финансы / платежи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Бухгалтерия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Логистика / склад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____</w:t>
            </w:r>
          </w:p>
        </w:tc>
      </w:tr>
    </w:tbl>
    <w:p/>
    <w:p>
      <w:r>
        <w:br w:type="page"/>
      </w:r>
    </w:p>
    <w:p>
      <w:pPr>
        <w:pStyle w:val="Heading1"/>
      </w:pPr>
      <w:r>
        <w:t>5. Реестр проблемных позиций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522"/>
        <w:gridCol w:w="1522"/>
        <w:gridCol w:w="1522"/>
        <w:gridCol w:w="1522"/>
        <w:gridCol w:w="1522"/>
        <w:gridCol w:w="1522"/>
        <w:gridCol w:w="1522"/>
      </w:tblGrid>
      <w:tr>
        <w:trPr>
          <w:cantSplit/>
        </w:trPr>
        <w:tc>
          <w:tcPr>
            <w:tcW w:type="dxa" w:w="504"/>
            <w:shd w:fill="D9EAF7"/>
          </w:tcPr>
          <w:p>
            <w:r/>
            <w:r>
              <w:rPr>
                <w:rFonts w:ascii="DejaVu Sans" w:hAnsi="DejaVu Sans"/>
                <w:b/>
                <w:sz w:val="12"/>
              </w:rPr>
              <w:t>N</w:t>
            </w:r>
          </w:p>
        </w:tc>
        <w:tc>
          <w:tcPr>
            <w:tcW w:type="dxa" w:w="1440"/>
            <w:shd w:fill="D9EAF7"/>
          </w:tcPr>
          <w:p>
            <w:r/>
            <w:r>
              <w:rPr>
                <w:rFonts w:ascii="DejaVu Sans" w:hAnsi="DejaVu Sans"/>
                <w:b/>
                <w:sz w:val="12"/>
              </w:rPr>
              <w:t>Документ</w:t>
            </w:r>
          </w:p>
        </w:tc>
        <w:tc>
          <w:tcPr>
            <w:tcW w:type="dxa" w:w="2016"/>
            <w:shd w:fill="D9EAF7"/>
          </w:tcPr>
          <w:p>
            <w:r/>
            <w:r>
              <w:rPr>
                <w:rFonts w:ascii="DejaVu Sans" w:hAnsi="DejaVu Sans"/>
                <w:b/>
                <w:sz w:val="12"/>
              </w:rPr>
              <w:t>Стр./строка/позиция</w:t>
            </w:r>
          </w:p>
        </w:tc>
        <w:tc>
          <w:tcPr>
            <w:tcW w:type="dxa" w:w="1152"/>
            <w:shd w:fill="D9EAF7"/>
          </w:tcPr>
          <w:p>
            <w:r/>
            <w:r>
              <w:rPr>
                <w:rFonts w:ascii="DejaVu Sans" w:hAnsi="DejaVu Sans"/>
                <w:b/>
                <w:sz w:val="12"/>
              </w:rPr>
              <w:t>Сумма</w:t>
            </w:r>
          </w:p>
        </w:tc>
        <w:tc>
          <w:tcPr>
            <w:tcW w:type="dxa" w:w="1800"/>
            <w:shd w:fill="D9EAF7"/>
          </w:tcPr>
          <w:p>
            <w:r/>
            <w:r>
              <w:rPr>
                <w:rFonts w:ascii="DejaVu Sans" w:hAnsi="DejaVu Sans"/>
                <w:b/>
                <w:sz w:val="12"/>
              </w:rPr>
              <w:t>Категория</w:t>
            </w:r>
          </w:p>
        </w:tc>
        <w:tc>
          <w:tcPr>
            <w:tcW w:type="dxa" w:w="1152"/>
            <w:shd w:fill="D9EAF7"/>
          </w:tcPr>
          <w:p>
            <w:r/>
            <w:r>
              <w:rPr>
                <w:rFonts w:ascii="DejaVu Sans" w:hAnsi="DejaVu Sans"/>
                <w:b/>
                <w:sz w:val="12"/>
              </w:rPr>
              <w:t>lambda-дефект</w:t>
            </w:r>
          </w:p>
        </w:tc>
        <w:tc>
          <w:tcPr>
            <w:tcW w:type="dxa" w:w="2736"/>
            <w:shd w:fill="D9EAF7"/>
          </w:tcPr>
          <w:p>
            <w:r/>
            <w:r>
              <w:rPr>
                <w:rFonts w:ascii="DejaVu Sans" w:hAnsi="DejaVu Sans"/>
                <w:b/>
                <w:sz w:val="12"/>
              </w:rPr>
              <w:t>Рекомендация</w:t>
            </w:r>
          </w:p>
        </w:tc>
      </w:tr>
      <w:tr>
        <w:trPr>
          <w:cantSplit/>
        </w:trPr>
        <w:tc>
          <w:tcPr>
            <w:tcW w:type="dxa" w:w="504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1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Смета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стр. __ / позиция __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_____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Разрыв / наложение / избыточность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_____</w:t>
            </w:r>
          </w:p>
        </w:tc>
        <w:tc>
          <w:tcPr>
            <w:tcW w:type="dxa" w:w="2736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Запросить обоснование / пересчитать / исключить / подтвердить.</w:t>
            </w:r>
          </w:p>
        </w:tc>
      </w:tr>
      <w:tr>
        <w:trPr>
          <w:cantSplit/>
        </w:trPr>
        <w:tc>
          <w:tcPr>
            <w:tcW w:type="dxa" w:w="504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2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Договор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пункт __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_____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Недостаточное основание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_____</w:t>
            </w:r>
          </w:p>
        </w:tc>
        <w:tc>
          <w:tcPr>
            <w:tcW w:type="dxa" w:w="2736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Сверить с ТЗ, сметой и актами.</w:t>
            </w:r>
          </w:p>
        </w:tc>
      </w:tr>
      <w:tr>
        <w:trPr>
          <w:cantSplit/>
        </w:trPr>
        <w:tc>
          <w:tcPr>
            <w:tcW w:type="dxa" w:w="504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3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Акт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КС-2 N __ / строка __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_____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Платеж без подтверждения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_____</w:t>
            </w:r>
          </w:p>
        </w:tc>
        <w:tc>
          <w:tcPr>
            <w:tcW w:type="dxa" w:w="2736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Проверить платежную трассу и фактическое исполнение.</w:t>
            </w:r>
          </w:p>
        </w:tc>
      </w:tr>
      <w:tr>
        <w:trPr>
          <w:cantSplit/>
        </w:trPr>
        <w:tc>
          <w:tcPr>
            <w:tcW w:type="dxa" w:w="504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4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Банк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платеж N __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_____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Аванс без закрытия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_____</w:t>
            </w:r>
          </w:p>
        </w:tc>
        <w:tc>
          <w:tcPr>
            <w:tcW w:type="dxa" w:w="2736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Запросить акт и бухгалтерское отражение.</w:t>
            </w:r>
          </w:p>
        </w:tc>
      </w:tr>
      <w:tr>
        <w:trPr>
          <w:cantSplit/>
        </w:trPr>
        <w:tc>
          <w:tcPr>
            <w:tcW w:type="dxa" w:w="504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5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Бухгалтерия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проводка / счет __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_____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Учетный разрыв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_____</w:t>
            </w:r>
          </w:p>
        </w:tc>
        <w:tc>
          <w:tcPr>
            <w:tcW w:type="dxa" w:w="2736"/>
            <w:vAlign w:val="top"/>
          </w:tcPr>
          <w:p>
            <w:r/>
            <w:r>
              <w:rPr>
                <w:rFonts w:ascii="DejaVu Sans" w:hAnsi="DejaVu Sans"/>
                <w:b w:val="0"/>
                <w:sz w:val="12"/>
              </w:rPr>
              <w:t>Сверить с договором, актом и складом.</w:t>
            </w:r>
          </w:p>
        </w:tc>
      </w:tr>
    </w:tbl>
    <w:p/>
    <w:p>
      <w:r>
        <w:drawing>
          <wp:inline xmlns:a="http://schemas.openxmlformats.org/drawingml/2006/main" xmlns:pic="http://schemas.openxmlformats.org/drawingml/2006/picture">
            <wp:extent cx="6126480" cy="367588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lt501_risk_matrix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367588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DejaVu Sans" w:hAnsi="DejaVu Sans"/>
          <w:i/>
          <w:color w:val="5A5A5A"/>
          <w:sz w:val="16"/>
        </w:rPr>
        <w:t>Рисунок 2. Приоритизация позиций по стоимости и lambda-дефекту</w:t>
      </w:r>
    </w:p>
    <w:p>
      <w:r>
        <w:br w:type="page"/>
      </w:r>
    </w:p>
    <w:p>
      <w:pPr>
        <w:pStyle w:val="Heading1"/>
      </w:pPr>
      <w:r>
        <w:t>6. Расшифровка категорий оценочности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rPr>
          <w:cantSplit/>
        </w:trPr>
        <w:tc>
          <w:tcPr>
            <w:tcW w:type="dxa" w:w="2304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Категория</w:t>
            </w:r>
          </w:p>
        </w:tc>
        <w:tc>
          <w:tcPr>
            <w:tcW w:type="dxa" w:w="4320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Что фиксирует</w:t>
            </w:r>
          </w:p>
        </w:tc>
        <w:tc>
          <w:tcPr>
            <w:tcW w:type="dxa" w:w="3744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Типовая рекомендация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Разрыв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Позиция присутствует в одном документе и не подтверждается следующим звеном цепочки.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Запросить отсутствующий документ или исключить позицию до подтверждения.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Наложение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Одна работа, материал, услуга или платеж покрыты несколькими позициями.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Провести дедупликацию, уточнить объем и основание учета.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Избыточность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Работа или материал не вытекают из цели проекта, ТЗ, чертежа или норматива.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Проверить техническую необходимость и сметное основание.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Недостаточное обоснование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Цена, объем, норма, поставка или расход не имеют достаточных доказательств.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Запросить КП, расчет цены, норму, акт, накладную, платежную трассу.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Удорожание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Совокупность дефектов может вести к завышению бюджета.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Пересчитать позицию, проверить аналоги, исключить лишнее.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Занижение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Цена или ресурс ниже реалистичного уровня исполнения.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Проверить демпинг, ресурсную обеспеченность, риски срыва.</w:t>
            </w:r>
          </w:p>
        </w:tc>
      </w:tr>
      <w:tr>
        <w:trPr>
          <w:cantSplit/>
        </w:trPr>
        <w:tc>
          <w:tcPr>
            <w:tcW w:type="dxa" w:w="230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Антикоррупционный риск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Набор признаков требует независимой проверки, но не является обвинением.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Передать на правовую и антикоррупционную экспертизу.</w:t>
            </w:r>
          </w:p>
        </w:tc>
      </w:tr>
    </w:tbl>
    <w:p/>
    <w:p>
      <w:pPr>
        <w:pStyle w:val="Heading1"/>
      </w:pPr>
      <w:r>
        <w:t>7. Антикоррупционные рекомендации</w:t>
      </w:r>
    </w:p>
    <w:p>
      <w:pPr>
        <w:pStyle w:val="ListBullet"/>
      </w:pPr>
      <w:r>
        <w:rPr>
          <w:rFonts w:ascii="DejaVu Sans" w:hAnsi="DejaVu Sans"/>
          <w:sz w:val="18"/>
        </w:rPr>
        <w:t>Проверить позиции с высоким индексом избыточности и слабым документальным основанием.</w:t>
      </w:r>
    </w:p>
    <w:p>
      <w:pPr>
        <w:pStyle w:val="ListBullet"/>
      </w:pPr>
      <w:r>
        <w:rPr>
          <w:rFonts w:ascii="DejaVu Sans" w:hAnsi="DejaVu Sans"/>
          <w:sz w:val="18"/>
        </w:rPr>
        <w:t>Сверить требования ТЗ с признаками технической заточки под конкретного поставщика.</w:t>
      </w:r>
    </w:p>
    <w:p>
      <w:pPr>
        <w:pStyle w:val="ListBullet"/>
      </w:pPr>
      <w:r>
        <w:rPr>
          <w:rFonts w:ascii="DejaVu Sans" w:hAnsi="DejaVu Sans"/>
          <w:sz w:val="18"/>
        </w:rPr>
        <w:t>Проверить повторяющиеся работы, материалы и услуги на предмет двойного учета.</w:t>
      </w:r>
    </w:p>
    <w:p>
      <w:pPr>
        <w:pStyle w:val="ListBullet"/>
      </w:pPr>
      <w:r>
        <w:rPr>
          <w:rFonts w:ascii="DejaVu Sans" w:hAnsi="DejaVu Sans"/>
          <w:sz w:val="18"/>
        </w:rPr>
        <w:t>Отдельно проверить платежи, авансы и акты, не замыкающиеся в договор и бухгалтерское отражение.</w:t>
      </w:r>
    </w:p>
    <w:p>
      <w:pPr>
        <w:pStyle w:val="ListBullet"/>
      </w:pPr>
      <w:r>
        <w:rPr>
          <w:rFonts w:ascii="DejaVu Sans" w:hAnsi="DejaVu Sans"/>
          <w:sz w:val="18"/>
        </w:rPr>
        <w:t>Все выводы оформлять как риск-флаги и основания для проверки, без утверждения о наличии правонарушения.</w:t>
      </w:r>
    </w:p>
    <w:p>
      <w:r>
        <w:br w:type="page"/>
      </w:r>
    </w:p>
    <w:p>
      <w:pPr>
        <w:pStyle w:val="Heading1"/>
      </w:pPr>
      <w:r>
        <w:t>8. Проектные и ресурсно-сметные рекомендации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cantSplit/>
        </w:trPr>
        <w:tc>
          <w:tcPr>
            <w:tcW w:type="dxa" w:w="216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Направление</w:t>
            </w:r>
          </w:p>
        </w:tc>
        <w:tc>
          <w:tcPr>
            <w:tcW w:type="dxa" w:w="8352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Рекомендация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Смета</w:t>
            </w:r>
          </w:p>
        </w:tc>
        <w:tc>
          <w:tcPr>
            <w:tcW w:type="dxa" w:w="835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Пересчитать позиции с высоким lambda-дефектом и большим бюджетным весом.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Договор</w:t>
            </w:r>
          </w:p>
        </w:tc>
        <w:tc>
          <w:tcPr>
            <w:tcW w:type="dxa" w:w="835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Уточнить предмет, объем, этапы, связь с ТЗ и сметой.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Исполнение</w:t>
            </w:r>
          </w:p>
        </w:tc>
        <w:tc>
          <w:tcPr>
            <w:tcW w:type="dxa" w:w="835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Сверить акты с фактическими объемами, фотофиксацией, накладными и складом.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Логистика</w:t>
            </w:r>
          </w:p>
        </w:tc>
        <w:tc>
          <w:tcPr>
            <w:tcW w:type="dxa" w:w="835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Проверить доставку, сроки, складские остатки, двойной учет транспортных расходов.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Финансы</w:t>
            </w:r>
          </w:p>
        </w:tc>
        <w:tc>
          <w:tcPr>
            <w:tcW w:type="dxa" w:w="835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Оценить кассовые разрывы, авансирование, источники финансирования, кредитную нагрузку.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Бухгалтерия</w:t>
            </w:r>
          </w:p>
        </w:tc>
        <w:tc>
          <w:tcPr>
            <w:tcW w:type="dxa" w:w="835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Проверить проводки, запасы, дебиторку, кредиторку, соответствие учетной политике.</w:t>
            </w:r>
          </w:p>
        </w:tc>
      </w:tr>
    </w:tbl>
    <w:p/>
    <w:p>
      <w:pPr>
        <w:pStyle w:val="Heading1"/>
      </w:pPr>
      <w:r>
        <w:t>9. Итоговое заключение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rPr>
          <w:cantSplit/>
        </w:trPr>
        <w:tc>
          <w:tcPr>
            <w:tcW w:type="dxa" w:w="10656"/>
            <w:shd w:fill="EAF2F8"/>
          </w:tcPr>
          <w:p>
            <w:pPr>
              <w:jc w:val="left"/>
            </w:pPr>
            <w:r>
              <w:rPr>
                <w:rFonts w:ascii="DejaVu Sans" w:hAnsi="DejaVu Sans"/>
                <w:b/>
                <w:sz w:val="18"/>
              </w:rPr>
              <w:t>По результатам KLT 5.01 Alpha проектный пакет имеет статус: _____.</w:t>
              <w:br/>
              <w:t>Общий вывод: ________________________________________________</w:t>
              <w:br/>
              <w:t>Ключевые позиции для первоочередной проверки: ________________</w:t>
              <w:br/>
              <w:t>Оценочный экономический эффект проверки: _____ руб. / _____ %.</w:t>
            </w:r>
          </w:p>
        </w:tc>
      </w:tr>
    </w:tbl>
    <w:p>
      <w:r>
        <w:br w:type="page"/>
      </w:r>
    </w:p>
    <w:p>
      <w:pPr>
        <w:pStyle w:val="Heading1"/>
      </w:pPr>
      <w:r>
        <w:t>10. Подпись проверяющего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rPr>
          <w:cantSplit/>
        </w:trPr>
        <w:tc>
          <w:tcPr>
            <w:tcW w:type="dxa" w:w="288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Проверяющий</w:t>
            </w:r>
          </w:p>
        </w:tc>
        <w:tc>
          <w:tcPr>
            <w:tcW w:type="dxa" w:w="1728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Дата</w:t>
            </w:r>
          </w:p>
        </w:tc>
        <w:tc>
          <w:tcPr>
            <w:tcW w:type="dxa" w:w="288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Подпись</w:t>
            </w:r>
          </w:p>
        </w:tc>
        <w:tc>
          <w:tcPr>
            <w:tcW w:type="dxa" w:w="288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E-mail</w:t>
            </w:r>
          </w:p>
        </w:tc>
      </w:tr>
      <w:tr>
        <w:trPr>
          <w:cantSplit/>
        </w:trPr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____.__.2026</w:t>
            </w:r>
          </w:p>
        </w:tc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</w:t>
            </w:r>
          </w:p>
        </w:tc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</w:t>
            </w:r>
          </w:p>
        </w:tc>
      </w:tr>
    </w:tbl>
    <w:p/>
    <w:p>
      <w:pPr>
        <w:pStyle w:val="Heading1"/>
      </w:pPr>
      <w:r>
        <w:t>11. Замечания проверяющего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cantSplit/>
        </w:trPr>
        <w:tc>
          <w:tcPr>
            <w:tcW w:type="dxa" w:w="72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N</w:t>
            </w:r>
          </w:p>
        </w:tc>
        <w:tc>
          <w:tcPr>
            <w:tcW w:type="dxa" w:w="9792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Замечание / собственная оценка</w:t>
            </w:r>
          </w:p>
        </w:tc>
      </w:tr>
      <w:tr>
        <w:trPr>
          <w:cantSplit/>
        </w:trP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1</w:t>
            </w:r>
          </w:p>
        </w:tc>
        <w:tc>
          <w:tcPr>
            <w:tcW w:type="dxa" w:w="979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2</w:t>
            </w:r>
          </w:p>
        </w:tc>
        <w:tc>
          <w:tcPr>
            <w:tcW w:type="dxa" w:w="979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3</w:t>
            </w:r>
          </w:p>
        </w:tc>
        <w:tc>
          <w:tcPr>
            <w:tcW w:type="dxa" w:w="979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________________________________________________________________________________</w:t>
            </w:r>
          </w:p>
        </w:tc>
      </w:tr>
    </w:tbl>
    <w:p/>
    <w:p>
      <w:pPr>
        <w:pStyle w:val="Heading1"/>
      </w:pPr>
      <w:r>
        <w:t>12. Правовая оговорка</w:t>
      </w:r>
    </w:p>
    <w:p>
      <w:r>
        <w:rPr>
          <w:rFonts w:ascii="DejaVu Sans" w:hAnsi="DejaVu Sans"/>
          <w:sz w:val="18"/>
        </w:rPr>
        <w:t>Настоящий лямбда-чек-аудит является демонстрационным и рекомендательным аналитическим документом. Он фиксирует математически рассчитанные признаки разрывов, наложений, избыточности, недообоснованности, удорожания, занижения и иных рисков. Итоговые решения принимаются проверяющим, профильным экспертом, аудитором, юристом, государственным органом или судом в пределах их компетенции.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792" w:right="792" w:bottom="792" w:left="792" w:header="360" w:footer="3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DejaVu Sans" w:hAnsi="DejaVu Sans"/>
        <w:color w:val="6E6E6E"/>
        <w:sz w:val="14"/>
      </w:rPr>
      <w:t>Рекомендательный аналитический документ. Не является юридическим обвинением или заключением экспертизы без экспертной верификации.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DejaVu Sans" w:hAnsi="DejaVu Sans"/>
        <w:color w:val="505050"/>
        <w:sz w:val="16"/>
      </w:rPr>
      <w:t>KLT 5.01 Alpha | Kurpishev Lambda Truth | www.wpc-wpo.narod.ru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143C7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143C7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143C7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43C7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DejaVu Sans" w:hAnsi="DejaVu Sans" w:eastAsia="DejaVu Sans"/>
      <w:sz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