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DejaVu Sans" w:hAnsi="DejaVu Sans"/>
          <w:b/>
          <w:color w:val="0F2D5A"/>
          <w:sz w:val="40"/>
        </w:rPr>
        <w:t>KLT 5.01 ALPHA</w:t>
      </w:r>
    </w:p>
    <w:p>
      <w:pPr>
        <w:jc w:val="center"/>
      </w:pPr>
      <w:r>
        <w:rPr>
          <w:rFonts w:ascii="DejaVu Sans" w:hAnsi="DejaVu Sans"/>
          <w:b/>
          <w:color w:val="143C78"/>
          <w:sz w:val="32"/>
        </w:rPr>
        <w:t>Математическая спецификация проектно-финансового лямбда-аудита</w:t>
      </w:r>
    </w:p>
    <w:p>
      <w:pPr>
        <w:jc w:val="center"/>
      </w:pPr>
      <w:r>
        <w:rPr>
          <w:rFonts w:ascii="DejaVu Sans" w:hAnsi="DejaVu Sans"/>
          <w:color w:val="505050"/>
          <w:sz w:val="20"/>
        </w:rPr>
        <w:t>Вариационная lambda, многомерный Reпер, PIX/PEAKS, граф доказательной связности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rPr>
          <w:cantSplit/>
        </w:trPr>
        <w:tc>
          <w:tcPr>
            <w:tcW w:type="dxa" w:w="10656"/>
            <w:shd w:fill="EAF2F8"/>
          </w:tcPr>
          <w:p>
            <w:pPr>
              <w:jc w:val="left"/>
            </w:pPr>
            <w:r>
              <w:rPr>
                <w:rFonts w:ascii="DejaVu Sans" w:hAnsi="DejaVu Sans"/>
                <w:b/>
                <w:sz w:val="18"/>
              </w:rPr>
              <w:t>Статус: рабочая спецификация KLT 5.01 Alpha. Документ описывает математическое ядро рекомендательного анализа проектных, финансовых, бухгалтерских, банковских, логистических и закупочных данных.</w:t>
            </w:r>
          </w:p>
        </w:tc>
      </w:tr>
    </w:tbl>
    <w:p>
      <w:pPr>
        <w:pStyle w:val="Heading1"/>
      </w:pPr>
      <w:r>
        <w:t>1. Назначение математической модели</w:t>
      </w:r>
    </w:p>
    <w:p>
      <w:r>
        <w:rPr>
          <w:rFonts w:ascii="DejaVu Sans" w:hAnsi="DejaVu Sans"/>
          <w:sz w:val="18"/>
        </w:rPr>
        <w:t>KLT 5.01 рассматривает проект не как набор отдельных файлов, а как пакет доказательств. Каждый документ, строка сметы, пункт договора, акт, платеж, бухгалтерская проводка, логистическое событие и фактическое исполнение преобразуются в элемент PIX, которому сопоставляется состояние PEAKS.</w:t>
      </w:r>
    </w:p>
    <w:p>
      <w:pPr>
        <w:pStyle w:val="ListBullet"/>
      </w:pPr>
      <w:r>
        <w:rPr>
          <w:rFonts w:ascii="DejaVu Sans" w:hAnsi="DejaVu Sans"/>
          <w:sz w:val="18"/>
        </w:rPr>
        <w:t>Цель модели - показать, где проект не замыкается в доказанную, реализуемую и экономически обоснованную структуру.</w:t>
      </w:r>
    </w:p>
    <w:p>
      <w:pPr>
        <w:pStyle w:val="ListBullet"/>
      </w:pPr>
      <w:r>
        <w:rPr>
          <w:rFonts w:ascii="DejaVu Sans" w:hAnsi="DejaVu Sans"/>
          <w:sz w:val="18"/>
        </w:rPr>
        <w:t>Результат модели - не юридическое обвинение, а реестр аналитических признаков риска для экспертной проверки.</w:t>
      </w:r>
    </w:p>
    <w:p>
      <w:pPr>
        <w:pStyle w:val="ListBullet"/>
      </w:pPr>
      <w:r>
        <w:rPr>
          <w:rFonts w:ascii="DejaVu Sans" w:hAnsi="DejaVu Sans"/>
          <w:sz w:val="18"/>
        </w:rPr>
        <w:t>Единица анализа - конкретная позиция с указанием документа, страницы, строки, суммы, связи и типа дефекта.</w:t>
      </w:r>
    </w:p>
    <w:p>
      <w:r>
        <w:drawing>
          <wp:inline xmlns:a="http://schemas.openxmlformats.org/drawingml/2006/main" xmlns:pic="http://schemas.openxmlformats.org/drawingml/2006/picture">
            <wp:extent cx="6309360" cy="319674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lt501_reper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319674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DejaVu Sans" w:hAnsi="DejaVu Sans"/>
          <w:i/>
          <w:color w:val="5A5A5A"/>
          <w:sz w:val="16"/>
        </w:rPr>
        <w:t>Рисунок 1. Многомерный Reпер проекта</w:t>
      </w:r>
    </w:p>
    <w:p>
      <w:r>
        <w:br w:type="page"/>
      </w:r>
    </w:p>
    <w:p>
      <w:pPr>
        <w:pStyle w:val="Heading1"/>
      </w:pPr>
      <w:r>
        <w:t>2. Базовые определения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Объект</w:t>
            </w:r>
          </w:p>
        </w:tc>
        <w:tc>
          <w:tcPr>
            <w:tcW w:type="dxa" w:w="288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Формализация</w:t>
            </w:r>
          </w:p>
        </w:tc>
        <w:tc>
          <w:tcPr>
            <w:tcW w:type="dxa" w:w="504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Смысл в KLT 5.01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PIX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p_i = (source, locator, value, context)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Элементарное событие проекта: строка сметы, пункт договора, акт, платеж, проводка, поставка, узел чертежа.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PEAKS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s_i in S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Состояние PIX: подтвержден, не подтвержден, завышен, занижен, дублируется, противоречит, требует проверки.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Пакетная точка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x_i = (p_i, s_i)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Событие в состоянии; минимальная единица доказательной геометрии проекта.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Граф проекта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G=(V,E,A)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Узлы - документы и позиции, ребра - связи обоснования, оплаты, учета, поставки, приемки и факта.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Reпер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R_i=(U_i,I_i,R_i,D_i)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Локальное поле требований, логики, реального содержания и достаточного основания.</w:t>
            </w:r>
          </w:p>
        </w:tc>
      </w:tr>
    </w:tbl>
    <w:p/>
    <w:p>
      <w:pPr>
        <w:pStyle w:val="Heading1"/>
      </w:pPr>
      <w:r>
        <w:t>3. Локальная lambda-оценка позиции</w:t>
      </w:r>
    </w:p>
    <w:p>
      <w:r>
        <w:rPr>
          <w:rFonts w:ascii="DejaVu Sans" w:hAnsi="DejaVu Sans"/>
          <w:sz w:val="18"/>
        </w:rPr>
        <w:t>Для каждой позиции i строится локальный Reпер. Компоненты нормируются в интервале [0;1] или в иной выбранной шкале, после чего вычисляется локальное двойное отношение: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rPr>
          <w:cantSplit/>
        </w:trPr>
        <w:tc>
          <w:tcPr>
            <w:tcW w:type="dxa" w:w="10656"/>
            <w:shd w:fill="EAF2F8"/>
          </w:tcPr>
          <w:p>
            <w:pPr>
              <w:jc w:val="left"/>
            </w:pPr>
            <w:r>
              <w:rPr>
                <w:rFonts w:ascii="DejaVu Sans" w:hAnsi="DejaVu Sans"/>
                <w:b/>
                <w:sz w:val="18"/>
              </w:rPr>
              <w:t>lambda_i = ((U_i - R_i)(I_i - D_i)) / ((U_i - D_i)(I_i - R_i) + eps)</w:t>
              <w:br/>
              <w:t>Delta_i = |lambda_i + 1|</w:t>
              <w:br/>
              <w:t>Auth_i = 1 / (1 + Delta_i)</w:t>
            </w:r>
          </w:p>
        </w:tc>
      </w:tr>
    </w:tbl>
    <w:p>
      <w:r>
        <w:rPr>
          <w:rFonts w:ascii="DejaVu Sans" w:hAnsi="DejaVu Sans"/>
          <w:sz w:val="18"/>
        </w:rPr>
        <w:t>Гармонический предел lambda -&gt; -1 интерпретируется как предельная структурная согласованность пакета. Чем больше Delta_i, тем выше дефект доказательной связности позиции.</w:t>
      </w:r>
    </w:p>
    <w:p>
      <w:pPr>
        <w:pStyle w:val="Heading1"/>
      </w:pPr>
      <w:r>
        <w:t>4. Многомерный функционал проекта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rPr>
          <w:cantSplit/>
        </w:trPr>
        <w:tc>
          <w:tcPr>
            <w:tcW w:type="dxa" w:w="10656"/>
            <w:shd w:fill="EAF2F8"/>
          </w:tcPr>
          <w:p>
            <w:pPr>
              <w:jc w:val="left"/>
            </w:pPr>
            <w:r>
              <w:rPr>
                <w:rFonts w:ascii="DejaVu Sans" w:hAnsi="DejaVu Sans"/>
                <w:b/>
                <w:sz w:val="18"/>
              </w:rPr>
              <w:t>L_project = Sum_i w_i * Phi(lambda_i, Delta_i, risk_i, cost_i)</w:t>
              <w:br/>
              <w:t>Lambda_project = Sum_i w_i * lambda_i / Sum_i w_i</w:t>
              <w:br/>
              <w:t>Delta_project = Sum_i w_i * |lambda_i + 1| / Sum_i w_i</w:t>
            </w:r>
          </w:p>
        </w:tc>
      </w:tr>
    </w:tbl>
    <w:p>
      <w:r>
        <w:rPr>
          <w:rFonts w:ascii="DejaVu Sans" w:hAnsi="DejaVu Sans"/>
          <w:sz w:val="18"/>
        </w:rPr>
        <w:t>Вес w_i задается стоимостью позиции, критичностью, влиянием на сроки, безопасностью, юридической значимостью и степенью зависимости других позиций. Для бюджетных и закупочных проектов вес стоимости отделяется от веса безопасности, чтобы не скрывать риск занижения.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Вес</w:t>
            </w:r>
          </w:p>
        </w:tc>
        <w:tc>
          <w:tcPr>
            <w:tcW w:type="dxa" w:w="288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Фактор</w:t>
            </w:r>
          </w:p>
        </w:tc>
        <w:tc>
          <w:tcPr>
            <w:tcW w:type="dxa" w:w="576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Пример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w_cost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Доля в бюджете</w:t>
            </w:r>
          </w:p>
        </w:tc>
        <w:tc>
          <w:tcPr>
            <w:tcW w:type="dxa" w:w="57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Позиция на 1,2 млн руб. важнее позиции на 12 тыс. руб. при равном lambda-дефекте.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w_critical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Критичность</w:t>
            </w:r>
          </w:p>
        </w:tc>
        <w:tc>
          <w:tcPr>
            <w:tcW w:type="dxa" w:w="57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Несущие конструкции, безопасность, энергоснабжение, банковская гарантия.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w_time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Влияние на срок</w:t>
            </w:r>
          </w:p>
        </w:tc>
        <w:tc>
          <w:tcPr>
            <w:tcW w:type="dxa" w:w="57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Доставка ключевого оборудования, аванс, задержка закрытия актов.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w_evidence</w:t>
            </w:r>
          </w:p>
        </w:tc>
        <w:tc>
          <w:tcPr>
            <w:tcW w:type="dxa" w:w="288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Слабость доказательств</w:t>
            </w:r>
          </w:p>
        </w:tc>
        <w:tc>
          <w:tcPr>
            <w:tcW w:type="dxa" w:w="57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Нет КП, норматива, акта, платежной трассы, складского подтверждения.</w:t>
            </w:r>
          </w:p>
        </w:tc>
      </w:tr>
    </w:tbl>
    <w:p/>
    <w:p>
      <w:r>
        <w:br w:type="page"/>
      </w:r>
    </w:p>
    <w:p>
      <w:pPr>
        <w:pStyle w:val="Heading1"/>
      </w:pPr>
      <w:r>
        <w:t>5. Категории оценочности и формулы риска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2016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Категория</w:t>
            </w:r>
          </w:p>
        </w:tc>
        <w:tc>
          <w:tcPr>
            <w:tcW w:type="dxa" w:w="3600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Индекс</w:t>
            </w:r>
          </w:p>
        </w:tc>
        <w:tc>
          <w:tcPr>
            <w:tcW w:type="dxa" w:w="5040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Что означает</w:t>
            </w:r>
          </w:p>
        </w:tc>
      </w:tr>
      <w:tr>
        <w:trPr>
          <w:cantSplit/>
        </w:trPr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Разрыв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Gap_i = MissingLink_i * Cost_i * Criticality_i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Смета есть, договора нет; платеж есть, акта нет; списание есть, факта нет.</w:t>
            </w:r>
          </w:p>
        </w:tc>
      </w:tr>
      <w:tr>
        <w:trPr>
          <w:cantSplit/>
        </w:trPr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Наложение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Overlap_ij = Similarity_ij * min(Cost_i,Cost_j)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Одна работа или материал учтены дважды в разных разделах.</w:t>
            </w:r>
          </w:p>
        </w:tc>
      </w:tr>
      <w:tr>
        <w:trPr>
          <w:cantSplit/>
        </w:trPr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Избыточность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Redundancy_i = max(0, Declared_i - Necessary_i) / (Necessary_i + eps)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Объем или материал не вытекает из ТЗ, чертежа, договора или нормы.</w:t>
            </w:r>
          </w:p>
        </w:tc>
      </w:tr>
      <w:tr>
        <w:trPr>
          <w:cantSplit/>
        </w:trPr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Недостаточное обоснование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WeakEvidence_i = 1 - Evidence_i / RequiredEvidence_i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Нет расчета цены, ссылки на норму, КП, акта, накладной, основания платежа.</w:t>
            </w:r>
          </w:p>
        </w:tc>
      </w:tr>
      <w:tr>
        <w:trPr>
          <w:cantSplit/>
        </w:trPr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Удорожание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OverpriceRisk_i = Cost_i * (Gap_i + Overlap_i + Redundancy_i + WeakEvidence_i)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Риск необоснованного завышения цены или бюджета.</w:t>
            </w:r>
          </w:p>
        </w:tc>
      </w:tr>
      <w:tr>
        <w:trPr>
          <w:cantSplit/>
        </w:trPr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Занижение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UnderpriceRisk_i = max(0, Necessary_i - Declared_i) / (Necessary_i + eps)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Риск демпинга, невозможности исполнения, срыва поставки или качества.</w:t>
            </w:r>
          </w:p>
        </w:tc>
      </w:tr>
      <w:tr>
        <w:trPr>
          <w:cantSplit/>
        </w:trPr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Крушение проекта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CollapseRisk_i = Underprice_i * Criticality_i * ResourceGap_i * TimePressure_i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Опасное занижение цены или ресурсов, создающее риск заведомого срыва.</w:t>
            </w:r>
          </w:p>
        </w:tc>
      </w:tr>
      <w:tr>
        <w:trPr>
          <w:cantSplit/>
        </w:trPr>
        <w:tc>
          <w:tcPr>
            <w:tcW w:type="dxa" w:w="2016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Антикоррупционный риск</w:t>
            </w:r>
          </w:p>
        </w:tc>
        <w:tc>
          <w:tcPr>
            <w:tcW w:type="dxa" w:w="360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ACR_i = f(tailoring, weakEvidence, overlap, noncompetitivePattern)</w:t>
            </w:r>
          </w:p>
        </w:tc>
        <w:tc>
          <w:tcPr>
            <w:tcW w:type="dxa" w:w="5040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Красный флаг без обвинения: требуется экспертная и юридическая проверка.</w:t>
            </w:r>
          </w:p>
        </w:tc>
      </w:tr>
    </w:tbl>
    <w:p/>
    <w:p>
      <w:r>
        <w:drawing>
          <wp:inline xmlns:a="http://schemas.openxmlformats.org/drawingml/2006/main" xmlns:pic="http://schemas.openxmlformats.org/drawingml/2006/picture">
            <wp:extent cx="6217920" cy="373075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lt501_risk_matrix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17920" cy="37307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DejaVu Sans" w:hAnsi="DejaVu Sans"/>
          <w:i/>
          <w:color w:val="5A5A5A"/>
          <w:sz w:val="16"/>
        </w:rPr>
        <w:t>Рисунок 2. Матрица приоритетов проблемных позиций</w:t>
      </w:r>
    </w:p>
    <w:p>
      <w:pPr>
        <w:pStyle w:val="Heading1"/>
      </w:pPr>
      <w:r>
        <w:t>6. Бухгалтерский, финансовый, банковский и логистический контуры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172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Контур</w:t>
            </w:r>
          </w:p>
        </w:tc>
        <w:tc>
          <w:tcPr>
            <w:tcW w:type="dxa" w:w="4032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Проверяемая связность</w:t>
            </w:r>
          </w:p>
        </w:tc>
        <w:tc>
          <w:tcPr>
            <w:tcW w:type="dxa" w:w="4608"/>
            <w:shd w:fill="D9EAF7"/>
          </w:tcPr>
          <w:p>
            <w:r/>
            <w:r>
              <w:rPr>
                <w:rFonts w:ascii="DejaVu Sans" w:hAnsi="DejaVu Sans"/>
                <w:b/>
                <w:sz w:val="14"/>
              </w:rPr>
              <w:t>Типовые флаги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Бухгалтерия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Активы = обязательства + капитал; дебет = кредит; расходы -&gt; договор -&gt; акт -&gt; платеж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Проводка без договора, расход без акта, зависшие запасы, сомнительная дебиторка, кредиторка без обязательства.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Финансы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План платежей -&gt; источник финансирования -&gt; кассовый поток -&gt; обязательства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Кассовый разрыв, недофинансирование, нецелевое движение, невозможность закрытия этапа.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Банк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Платеж -&gt; договор -&gt; акт -&gt; учет -&gt; поставка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Платеж без акта, аванс без закрытия, слабая банковская гарантия, цепочка посредников.</w:t>
            </w:r>
          </w:p>
        </w:tc>
      </w:tr>
      <w:tr>
        <w:trPr>
          <w:cantSplit/>
        </w:trPr>
        <w:tc>
          <w:tcPr>
            <w:tcW w:type="dxa" w:w="172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Логистика</w:t>
            </w:r>
          </w:p>
        </w:tc>
        <w:tc>
          <w:tcPr>
            <w:tcW w:type="dxa" w:w="4032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Поставка -&gt; склад -&gt; списание -&gt; акт -&gt; фактическая работа</w:t>
            </w:r>
          </w:p>
        </w:tc>
        <w:tc>
          <w:tcPr>
            <w:tcW w:type="dxa" w:w="4608"/>
            <w:vAlign w:val="top"/>
          </w:tcPr>
          <w:p>
            <w:r/>
            <w:r>
              <w:rPr>
                <w:rFonts w:ascii="DejaVu Sans" w:hAnsi="DejaVu Sans"/>
                <w:b w:val="0"/>
                <w:sz w:val="14"/>
              </w:rPr>
              <w:t>Материал оплачен, но не доставлен; доставлен, но не использован; доставка включена дважды.</w:t>
            </w:r>
          </w:p>
        </w:tc>
      </w:tr>
    </w:tbl>
    <w:p/>
    <w:p>
      <w:r>
        <w:br w:type="page"/>
      </w:r>
    </w:p>
    <w:p>
      <w:pPr>
        <w:pStyle w:val="Heading1"/>
      </w:pPr>
      <w:r>
        <w:t>7. Закупочный контур и доказательная цепочка</w:t>
      </w:r>
    </w:p>
    <w:p>
      <w:r>
        <w:drawing>
          <wp:inline xmlns:a="http://schemas.openxmlformats.org/drawingml/2006/main" xmlns:pic="http://schemas.openxmlformats.org/drawingml/2006/picture">
            <wp:extent cx="6309360" cy="2523744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klt501_evidence_chain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25237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ascii="DejaVu Sans" w:hAnsi="DejaVu Sans"/>
          <w:i/>
          <w:color w:val="5A5A5A"/>
          <w:sz w:val="16"/>
        </w:rPr>
        <w:t>Рисунок 3. Доказательная цепочка проекта</w:t>
      </w:r>
    </w:p>
    <w:p>
      <w:r>
        <w:rPr>
          <w:rFonts w:ascii="DejaVu Sans" w:hAnsi="DejaVu Sans"/>
          <w:sz w:val="18"/>
        </w:rPr>
        <w:t>Для закупок KLT 5.01 проверяет не только цену, но и связность: потребность -&gt; НМЦК -&gt; смета -&gt; контракт -&gt; акты -&gt; платежи -&gt; учет -&gt; фактический результат. Любой незамкнутый участок цепочки получает тип дефекта и попадает в реестр проблемных позиций.</w:t>
      </w:r>
    </w:p>
    <w:p>
      <w:pPr>
        <w:pStyle w:val="Heading1"/>
      </w:pPr>
      <w:r>
        <w:t>8. Выходные индексы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rPr>
          <w:cantSplit/>
        </w:trPr>
        <w:tc>
          <w:tcPr>
            <w:tcW w:type="dxa" w:w="216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Индекс</w:t>
            </w:r>
          </w:p>
        </w:tc>
        <w:tc>
          <w:tcPr>
            <w:tcW w:type="dxa" w:w="2160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Диапазон</w:t>
            </w:r>
          </w:p>
        </w:tc>
        <w:tc>
          <w:tcPr>
            <w:tcW w:type="dxa" w:w="6192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Интерпретация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Delta_project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0..+inf</w:t>
            </w:r>
          </w:p>
        </w:tc>
        <w:tc>
          <w:tcPr>
            <w:tcW w:type="dxa" w:w="61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Средний lambda-дефект проекта. Чем ближе к 0, тем выше согласованность.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Auth_project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0..1</w:t>
            </w:r>
          </w:p>
        </w:tc>
        <w:tc>
          <w:tcPr>
            <w:tcW w:type="dxa" w:w="61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Интегральная авторизованность проекта: 1/(1+Delta_project).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OverpriceRisk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руб. и %</w:t>
            </w:r>
          </w:p>
        </w:tc>
        <w:tc>
          <w:tcPr>
            <w:tcW w:type="dxa" w:w="61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Оценка потенциальной зоны необоснованного удорожания.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UnderpriceRisk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руб. и %</w:t>
            </w:r>
          </w:p>
        </w:tc>
        <w:tc>
          <w:tcPr>
            <w:tcW w:type="dxa" w:w="61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Оценка зоны рискованного занижения и демпинга.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CollapseRisk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0..100</w:t>
            </w:r>
          </w:p>
        </w:tc>
        <w:tc>
          <w:tcPr>
            <w:tcW w:type="dxa" w:w="61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Индекс риска срыва проекта из-за ресурсов, сроков, финансирования или нереалистичной цены.</w:t>
            </w:r>
          </w:p>
        </w:tc>
      </w:tr>
      <w:tr>
        <w:trPr>
          <w:cantSplit/>
        </w:trPr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ACR</w:t>
            </w:r>
          </w:p>
        </w:tc>
        <w:tc>
          <w:tcPr>
            <w:tcW w:type="dxa" w:w="2160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0..100</w:t>
            </w:r>
          </w:p>
        </w:tc>
        <w:tc>
          <w:tcPr>
            <w:tcW w:type="dxa" w:w="619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Антикоррупционный риск-флаг. Не является обвинением; требует проверки.</w:t>
            </w:r>
          </w:p>
        </w:tc>
      </w:tr>
    </w:tbl>
    <w:p/>
    <w:p>
      <w:r>
        <w:br w:type="page"/>
      </w:r>
    </w:p>
    <w:p>
      <w:pPr>
        <w:pStyle w:val="Heading1"/>
      </w:pPr>
      <w:r>
        <w:t>9. Ограничения математической модели</w:t>
      </w:r>
    </w:p>
    <w:p>
      <w:pPr>
        <w:pStyle w:val="ListBullet"/>
      </w:pPr>
      <w:r>
        <w:rPr>
          <w:rFonts w:ascii="DejaVu Sans" w:hAnsi="DejaVu Sans"/>
          <w:sz w:val="18"/>
        </w:rPr>
        <w:t>KLT 5.01 не заменяет государственную экспертизу, аудитора, сметчика, инженера, юриста или антикоррупционную проверку.</w:t>
      </w:r>
    </w:p>
    <w:p>
      <w:pPr>
        <w:pStyle w:val="ListBullet"/>
      </w:pPr>
      <w:r>
        <w:rPr>
          <w:rFonts w:ascii="DejaVu Sans" w:hAnsi="DejaVu Sans"/>
          <w:sz w:val="18"/>
        </w:rPr>
        <w:t>Все численные пороги должны калиброваться на пилотном корпусе реальных документов и экспертных заключений.</w:t>
      </w:r>
    </w:p>
    <w:p>
      <w:pPr>
        <w:pStyle w:val="ListBullet"/>
      </w:pPr>
      <w:r>
        <w:rPr>
          <w:rFonts w:ascii="DejaVu Sans" w:hAnsi="DejaVu Sans"/>
          <w:sz w:val="18"/>
        </w:rPr>
        <w:t>При отсутствии части документов система должна переходить в режим неполного доказательного графа и явно показывать, какие данные не были доступны.</w:t>
      </w:r>
    </w:p>
    <w:p>
      <w:pPr>
        <w:pStyle w:val="ListBullet"/>
      </w:pPr>
      <w:r>
        <w:rPr>
          <w:rFonts w:ascii="DejaVu Sans" w:hAnsi="DejaVu Sans"/>
          <w:sz w:val="18"/>
        </w:rPr>
        <w:t>Для DWG/IFC/BIM требуется отдельный адаптер и верификация соответствия чертежных объектов сметным позициям.</w:t>
      </w:r>
    </w:p>
    <w:p>
      <w:pPr>
        <w:pStyle w:val="Heading1"/>
      </w:pPr>
      <w:r>
        <w:t>10. Источники и нормативный контур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28"/>
        <w:gridCol w:w="5328"/>
      </w:tblGrid>
      <w:tr>
        <w:trPr>
          <w:cantSplit/>
        </w:trPr>
        <w:tc>
          <w:tcPr>
            <w:tcW w:type="dxa" w:w="3456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Источник</w:t>
            </w:r>
          </w:p>
        </w:tc>
        <w:tc>
          <w:tcPr>
            <w:tcW w:type="dxa" w:w="6912"/>
            <w:shd w:fill="D9EAF7"/>
          </w:tcPr>
          <w:p>
            <w:r/>
            <w:r>
              <w:rPr>
                <w:rFonts w:ascii="DejaVu Sans" w:hAnsi="DejaVu Sans"/>
                <w:b/>
                <w:sz w:val="16"/>
              </w:rPr>
              <w:t>Роль в KLT 5.01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Корпус проекта KLT / НАПГ / Reпер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Теоретическая база: пакетная точка, гармонический критерий lambda -&gt; -1, тензорная связность, PIX/PEAKS.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ЕИС в сфере закупок / zakupki.gov.ru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Открытый источник извещений, контрактов, смет, протоколов, исполнения и закупочных данных.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Постановление Правительства РФ N 87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Нормативный контур состава проектной и сметной документации.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ГИР БО ФНС России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Источник бухгалтерской финансовой отчетности и аудиторских заключений, если доступ не ограничен.</w:t>
            </w:r>
          </w:p>
        </w:tc>
      </w:tr>
      <w:tr>
        <w:trPr>
          <w:cantSplit/>
        </w:trPr>
        <w:tc>
          <w:tcPr>
            <w:tcW w:type="dxa" w:w="3456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Банк России: отчетность кредитных организаций</w:t>
            </w:r>
          </w:p>
        </w:tc>
        <w:tc>
          <w:tcPr>
            <w:tcW w:type="dxa" w:w="6912"/>
            <w:vAlign w:val="top"/>
          </w:tcPr>
          <w:p>
            <w:r/>
            <w:r>
              <w:rPr>
                <w:rFonts w:ascii="DejaVu Sans" w:hAnsi="DejaVu Sans"/>
                <w:b w:val="0"/>
                <w:sz w:val="16"/>
              </w:rPr>
              <w:t>Источник банковских и финансовых данных для внешних контуров проверки, когда применимо.</w:t>
            </w:r>
          </w:p>
        </w:tc>
      </w:tr>
    </w:tbl>
    <w:p/>
    <w:sectPr w:rsidR="00FC693F" w:rsidRPr="0006063C" w:rsidSect="00034616">
      <w:headerReference w:type="default" r:id="rId9"/>
      <w:footerReference w:type="default" r:id="rId10"/>
      <w:pgSz w:w="12240" w:h="15840"/>
      <w:pgMar w:top="792" w:right="792" w:bottom="792" w:left="792" w:header="360" w:footer="36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DejaVu Sans" w:hAnsi="DejaVu Sans"/>
        <w:color w:val="6E6E6E"/>
        <w:sz w:val="14"/>
      </w:rPr>
      <w:t>Рекомендательный аналитический документ. Не является юридическим обвинением или заключением экспертизы без экспертной верификации.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DejaVu Sans" w:hAnsi="DejaVu Sans"/>
        <w:color w:val="505050"/>
        <w:sz w:val="16"/>
      </w:rPr>
      <w:t>KLT 5.01 Alpha | Kurpishev Lambda Truth | www.wpc-wpo.narod.ru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143C7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43C78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DejaVu Sans" w:hAnsi="DejaVu Sans" w:eastAsia="DejaVu Sans"/>
      <w:sz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