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DejaVu Sans" w:hAnsi="DejaVu Sans"/>
          <w:b/>
          <w:color w:val="0F2D5A"/>
          <w:sz w:val="40"/>
        </w:rPr>
        <w:t>KLT 5.01 ALPHA</w:t>
      </w:r>
    </w:p>
    <w:p>
      <w:pPr>
        <w:jc w:val="center"/>
      </w:pPr>
      <w:r>
        <w:rPr>
          <w:rFonts w:ascii="DejaVu Sans" w:hAnsi="DejaVu Sans"/>
          <w:b/>
          <w:color w:val="143C78"/>
          <w:sz w:val="32"/>
        </w:rPr>
        <w:t>Техническое задание и архитектура программы</w:t>
      </w:r>
    </w:p>
    <w:p>
      <w:pPr>
        <w:jc w:val="center"/>
      </w:pPr>
      <w:r>
        <w:rPr>
          <w:rFonts w:ascii="DejaVu Sans" w:hAnsi="DejaVu Sans"/>
          <w:color w:val="505050"/>
          <w:sz w:val="20"/>
        </w:rPr>
        <w:t>Переход KLT 5.0 beta к KLT 5.01 Alpha: данные, модули, API, отчеты, тесты</w:t>
      </w:r>
    </w:p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656"/>
      </w:tblGrid>
      <w:tr>
        <w:trPr>
          <w:cantSplit/>
        </w:trPr>
        <w:tc>
          <w:tcPr>
            <w:tcW w:type="dxa" w:w="10656"/>
            <w:shd w:fill="EAF2F8"/>
          </w:tcPr>
          <w:p>
            <w:pPr>
              <w:jc w:val="left"/>
            </w:pPr>
            <w:r>
              <w:rPr>
                <w:rFonts w:ascii="DejaVu Sans" w:hAnsi="DejaVu Sans"/>
                <w:b/>
                <w:sz w:val="18"/>
              </w:rPr>
              <w:t>Статус: техническая спецификация исходной alpha-сборки. Цель - единый контур обработки больших пакетов документов: сметы, договоры, тендеры, бухгалтерия, банк, логистика, открытые закупочные данные.</w:t>
            </w:r>
          </w:p>
        </w:tc>
      </w:tr>
    </w:tbl>
    <w:p>
      <w:pPr>
        <w:pStyle w:val="Heading1"/>
      </w:pPr>
      <w:r>
        <w:t>1. Назначение и пользователи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rPr>
          <w:cantSplit/>
        </w:trPr>
        <w:tc>
          <w:tcPr>
            <w:tcW w:type="dxa" w:w="3024"/>
            <w:shd w:fill="D9EAF7"/>
          </w:tcPr>
          <w:p>
            <w:r/>
            <w:r>
              <w:rPr>
                <w:rFonts w:ascii="DejaVu Sans" w:hAnsi="DejaVu Sans"/>
                <w:b/>
                <w:sz w:val="16"/>
              </w:rPr>
              <w:t>Пользователь</w:t>
            </w:r>
          </w:p>
        </w:tc>
        <w:tc>
          <w:tcPr>
            <w:tcW w:type="dxa" w:w="7200"/>
            <w:shd w:fill="D9EAF7"/>
          </w:tcPr>
          <w:p>
            <w:r/>
            <w:r>
              <w:rPr>
                <w:rFonts w:ascii="DejaVu Sans" w:hAnsi="DejaVu Sans"/>
                <w:b/>
                <w:sz w:val="16"/>
              </w:rPr>
              <w:t>Сценарий</w:t>
            </w:r>
          </w:p>
        </w:tc>
      </w:tr>
      <w:tr>
        <w:trPr>
          <w:cantSplit/>
        </w:trPr>
        <w:tc>
          <w:tcPr>
            <w:tcW w:type="dxa" w:w="3024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Сметчик / инженер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Проверка сметных строк, объемов, материалов, наложений и неполных оснований.</w:t>
            </w:r>
          </w:p>
        </w:tc>
      </w:tr>
      <w:tr>
        <w:trPr>
          <w:cantSplit/>
        </w:trPr>
        <w:tc>
          <w:tcPr>
            <w:tcW w:type="dxa" w:w="3024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Финансовый аналитик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Проверка источников финансирования, кассовых разрывов, платежей, кредитной нагрузки.</w:t>
            </w:r>
          </w:p>
        </w:tc>
      </w:tr>
      <w:tr>
        <w:trPr>
          <w:cantSplit/>
        </w:trPr>
        <w:tc>
          <w:tcPr>
            <w:tcW w:type="dxa" w:w="3024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Бухгалтер / аудитор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Сверка договоров, актов, платежей, проводок, запасов, дебиторки и кредиторки.</w:t>
            </w:r>
          </w:p>
        </w:tc>
      </w:tr>
      <w:tr>
        <w:trPr>
          <w:cantSplit/>
        </w:trPr>
        <w:tc>
          <w:tcPr>
            <w:tcW w:type="dxa" w:w="3024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Заказчик / ведомство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Предварительный риск-скрининг закупки, проекта или исполнения контракта.</w:t>
            </w:r>
          </w:p>
        </w:tc>
      </w:tr>
      <w:tr>
        <w:trPr>
          <w:cantSplit/>
        </w:trPr>
        <w:tc>
          <w:tcPr>
            <w:tcW w:type="dxa" w:w="3024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Антикоррупционный аналитик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Выявление красных флагов без формулирования обвинения.</w:t>
            </w:r>
          </w:p>
        </w:tc>
      </w:tr>
    </w:tbl>
    <w:p/>
    <w:p>
      <w:r>
        <w:drawing>
          <wp:inline xmlns:a="http://schemas.openxmlformats.org/drawingml/2006/main" xmlns:pic="http://schemas.openxmlformats.org/drawingml/2006/picture">
            <wp:extent cx="6309360" cy="2523744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klt501_pipelin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09360" cy="252374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DejaVu Sans" w:hAnsi="DejaVu Sans"/>
          <w:i/>
          <w:color w:val="5A5A5A"/>
          <w:sz w:val="16"/>
        </w:rPr>
        <w:t>Рисунок 1. Архитектура обработки данных KLT 5.01 Alpha</w:t>
      </w:r>
    </w:p>
    <w:p>
      <w:r>
        <w:br w:type="page"/>
      </w:r>
    </w:p>
    <w:p>
      <w:pPr>
        <w:pStyle w:val="Heading1"/>
      </w:pPr>
      <w:r>
        <w:t>2. Поддерживаемые входные форматы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552"/>
        <w:gridCol w:w="3552"/>
        <w:gridCol w:w="3552"/>
      </w:tblGrid>
      <w:tr>
        <w:trPr>
          <w:cantSplit/>
        </w:trPr>
        <w:tc>
          <w:tcPr>
            <w:tcW w:type="dxa" w:w="2160"/>
            <w:shd w:fill="D9EAF7"/>
          </w:tcPr>
          <w:p>
            <w:r/>
            <w:r>
              <w:rPr>
                <w:rFonts w:ascii="DejaVu Sans" w:hAnsi="DejaVu Sans"/>
                <w:b/>
                <w:sz w:val="14"/>
              </w:rPr>
              <w:t>Формат</w:t>
            </w:r>
          </w:p>
        </w:tc>
        <w:tc>
          <w:tcPr>
            <w:tcW w:type="dxa" w:w="3168"/>
            <w:shd w:fill="D9EAF7"/>
          </w:tcPr>
          <w:p>
            <w:r/>
            <w:r>
              <w:rPr>
                <w:rFonts w:ascii="DejaVu Sans" w:hAnsi="DejaVu Sans"/>
                <w:b/>
                <w:sz w:val="14"/>
              </w:rPr>
              <w:t>Статус в KLT 5.01 Alpha</w:t>
            </w:r>
          </w:p>
        </w:tc>
        <w:tc>
          <w:tcPr>
            <w:tcW w:type="dxa" w:w="4896"/>
            <w:shd w:fill="D9EAF7"/>
          </w:tcPr>
          <w:p>
            <w:r/>
            <w:r>
              <w:rPr>
                <w:rFonts w:ascii="DejaVu Sans" w:hAnsi="DejaVu Sans"/>
                <w:b/>
                <w:sz w:val="14"/>
              </w:rPr>
              <w:t>Назначение</w:t>
            </w:r>
          </w:p>
        </w:tc>
      </w:tr>
      <w:tr>
        <w:trPr>
          <w:cantSplit/>
        </w:trPr>
        <w:tc>
          <w:tcPr>
            <w:tcW w:type="dxa" w:w="2160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ZIP / RAR</w:t>
            </w:r>
          </w:p>
        </w:tc>
        <w:tc>
          <w:tcPr>
            <w:tcW w:type="dxa" w:w="316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Alpha: ZIP обязательно; RAR через внешний unrar/bsdtar</w:t>
            </w:r>
          </w:p>
        </w:tc>
        <w:tc>
          <w:tcPr>
            <w:tcW w:type="dxa" w:w="4896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Массовая загрузка пакетов документов.</w:t>
            </w:r>
          </w:p>
        </w:tc>
      </w:tr>
      <w:tr>
        <w:trPr>
          <w:cantSplit/>
        </w:trPr>
        <w:tc>
          <w:tcPr>
            <w:tcW w:type="dxa" w:w="2160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XLSX / CSV</w:t>
            </w:r>
          </w:p>
        </w:tc>
        <w:tc>
          <w:tcPr>
            <w:tcW w:type="dxa" w:w="316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Alpha: обязательно</w:t>
            </w:r>
          </w:p>
        </w:tc>
        <w:tc>
          <w:tcPr>
            <w:tcW w:type="dxa" w:w="4896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Сметы, реестры платежей, финансовые таблицы, логистика.</w:t>
            </w:r>
          </w:p>
        </w:tc>
      </w:tr>
      <w:tr>
        <w:trPr>
          <w:cantSplit/>
        </w:trPr>
        <w:tc>
          <w:tcPr>
            <w:tcW w:type="dxa" w:w="2160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DOCX / TXT / MD</w:t>
            </w:r>
          </w:p>
        </w:tc>
        <w:tc>
          <w:tcPr>
            <w:tcW w:type="dxa" w:w="316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Alpha: обязательно</w:t>
            </w:r>
          </w:p>
        </w:tc>
        <w:tc>
          <w:tcPr>
            <w:tcW w:type="dxa" w:w="4896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Договоры, ТЗ, пояснительные записки, учетная политика.</w:t>
            </w:r>
          </w:p>
        </w:tc>
      </w:tr>
      <w:tr>
        <w:trPr>
          <w:cantSplit/>
        </w:trPr>
        <w:tc>
          <w:tcPr>
            <w:tcW w:type="dxa" w:w="2160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PDF</w:t>
            </w:r>
          </w:p>
        </w:tc>
        <w:tc>
          <w:tcPr>
            <w:tcW w:type="dxa" w:w="316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Alpha: обязательно для текстового PDF; OCR как расширение</w:t>
            </w:r>
          </w:p>
        </w:tc>
        <w:tc>
          <w:tcPr>
            <w:tcW w:type="dxa" w:w="4896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Тендерная документация, сметы, акты, банковские документы.</w:t>
            </w:r>
          </w:p>
        </w:tc>
      </w:tr>
      <w:tr>
        <w:trPr>
          <w:cantSplit/>
        </w:trPr>
        <w:tc>
          <w:tcPr>
            <w:tcW w:type="dxa" w:w="2160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XML / JSON</w:t>
            </w:r>
          </w:p>
        </w:tc>
        <w:tc>
          <w:tcPr>
            <w:tcW w:type="dxa" w:w="316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Alpha: обязательно для машинных выгрузок</w:t>
            </w:r>
          </w:p>
        </w:tc>
        <w:tc>
          <w:tcPr>
            <w:tcW w:type="dxa" w:w="4896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ЕИС/закупочные данные, внутренние базы, API.</w:t>
            </w:r>
          </w:p>
        </w:tc>
      </w:tr>
      <w:tr>
        <w:trPr>
          <w:cantSplit/>
        </w:trPr>
        <w:tc>
          <w:tcPr>
            <w:tcW w:type="dxa" w:w="2160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DBF</w:t>
            </w:r>
          </w:p>
        </w:tc>
        <w:tc>
          <w:tcPr>
            <w:tcW w:type="dxa" w:w="316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Alpha: адаптер для банковской/учетной отчетности</w:t>
            </w:r>
          </w:p>
        </w:tc>
        <w:tc>
          <w:tcPr>
            <w:tcW w:type="dxa" w:w="4896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Форма 101 и иные табличные выгрузки, где применимо.</w:t>
            </w:r>
          </w:p>
        </w:tc>
      </w:tr>
      <w:tr>
        <w:trPr>
          <w:cantSplit/>
        </w:trPr>
        <w:tc>
          <w:tcPr>
            <w:tcW w:type="dxa" w:w="2160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DXF / IFC / BIM</w:t>
            </w:r>
          </w:p>
        </w:tc>
        <w:tc>
          <w:tcPr>
            <w:tcW w:type="dxa" w:w="316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Roadmap</w:t>
            </w:r>
          </w:p>
        </w:tc>
        <w:tc>
          <w:tcPr>
            <w:tcW w:type="dxa" w:w="4896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Связь чертежных объектов и сметных позиций.</w:t>
            </w:r>
          </w:p>
        </w:tc>
      </w:tr>
      <w:tr>
        <w:trPr>
          <w:cantSplit/>
        </w:trPr>
        <w:tc>
          <w:tcPr>
            <w:tcW w:type="dxa" w:w="2160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DWG</w:t>
            </w:r>
          </w:p>
        </w:tc>
        <w:tc>
          <w:tcPr>
            <w:tcW w:type="dxa" w:w="316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Roadmap через DWG-&gt;DXF</w:t>
            </w:r>
          </w:p>
        </w:tc>
        <w:tc>
          <w:tcPr>
            <w:tcW w:type="dxa" w:w="4896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Закрытый формат, требуется внешний конвертер или SDK.</w:t>
            </w:r>
          </w:p>
        </w:tc>
      </w:tr>
    </w:tbl>
    <w:p/>
    <w:p>
      <w:r>
        <w:br w:type="page"/>
      </w:r>
    </w:p>
    <w:p>
      <w:pPr>
        <w:pStyle w:val="Heading1"/>
      </w:pPr>
      <w:r>
        <w:t>3. Модульная структура проекта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552"/>
        <w:gridCol w:w="3552"/>
        <w:gridCol w:w="3552"/>
      </w:tblGrid>
      <w:tr>
        <w:trPr>
          <w:cantSplit/>
        </w:trPr>
        <w:tc>
          <w:tcPr>
            <w:tcW w:type="dxa" w:w="2304"/>
            <w:shd w:fill="D9EAF7"/>
          </w:tcPr>
          <w:p>
            <w:r/>
            <w:r>
              <w:rPr>
                <w:rFonts w:ascii="DejaVu Sans" w:hAnsi="DejaVu Sans"/>
                <w:b/>
                <w:sz w:val="14"/>
              </w:rPr>
              <w:t>Папка</w:t>
            </w:r>
          </w:p>
        </w:tc>
        <w:tc>
          <w:tcPr>
            <w:tcW w:type="dxa" w:w="3024"/>
            <w:shd w:fill="D9EAF7"/>
          </w:tcPr>
          <w:p>
            <w:r/>
            <w:r>
              <w:rPr>
                <w:rFonts w:ascii="DejaVu Sans" w:hAnsi="DejaVu Sans"/>
                <w:b/>
                <w:sz w:val="14"/>
              </w:rPr>
              <w:t>Модуль</w:t>
            </w:r>
          </w:p>
        </w:tc>
        <w:tc>
          <w:tcPr>
            <w:tcW w:type="dxa" w:w="5184"/>
            <w:shd w:fill="D9EAF7"/>
          </w:tcPr>
          <w:p>
            <w:r/>
            <w:r>
              <w:rPr>
                <w:rFonts w:ascii="DejaVu Sans" w:hAnsi="DejaVu Sans"/>
                <w:b/>
                <w:sz w:val="14"/>
              </w:rPr>
              <w:t>Назначение</w:t>
            </w:r>
          </w:p>
        </w:tc>
      </w:tr>
      <w:tr>
        <w:trPr>
          <w:cantSplit/>
        </w:trPr>
        <w:tc>
          <w:tcPr>
            <w:tcW w:type="dxa" w:w="230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klt501/core</w:t>
            </w:r>
          </w:p>
        </w:tc>
        <w:tc>
          <w:tcPr>
            <w:tcW w:type="dxa" w:w="302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lambda_engine.py</w:t>
            </w:r>
          </w:p>
        </w:tc>
        <w:tc>
          <w:tcPr>
            <w:tcW w:type="dxa" w:w="518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Расчет lambda_i, Delta_i, Auth_i, глобального функционала и весов.</w:t>
            </w:r>
          </w:p>
        </w:tc>
      </w:tr>
      <w:tr>
        <w:trPr>
          <w:cantSplit/>
        </w:trPr>
        <w:tc>
          <w:tcPr>
            <w:tcW w:type="dxa" w:w="230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klt501/core</w:t>
            </w:r>
          </w:p>
        </w:tc>
        <w:tc>
          <w:tcPr>
            <w:tcW w:type="dxa" w:w="302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pix_peaks.py</w:t>
            </w:r>
          </w:p>
        </w:tc>
        <w:tc>
          <w:tcPr>
            <w:tcW w:type="dxa" w:w="518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Единая модель PIX/PEAKS и статусов согласованности.</w:t>
            </w:r>
          </w:p>
        </w:tc>
      </w:tr>
      <w:tr>
        <w:trPr>
          <w:cantSplit/>
        </w:trPr>
        <w:tc>
          <w:tcPr>
            <w:tcW w:type="dxa" w:w="230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klt501/core</w:t>
            </w:r>
          </w:p>
        </w:tc>
        <w:tc>
          <w:tcPr>
            <w:tcW w:type="dxa" w:w="302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project_graph.py</w:t>
            </w:r>
          </w:p>
        </w:tc>
        <w:tc>
          <w:tcPr>
            <w:tcW w:type="dxa" w:w="518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Граф доказательной связности: документы, позиции, ребра, атрибуты.</w:t>
            </w:r>
          </w:p>
        </w:tc>
      </w:tr>
      <w:tr>
        <w:trPr>
          <w:cantSplit/>
        </w:trPr>
        <w:tc>
          <w:tcPr>
            <w:tcW w:type="dxa" w:w="230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klt501/adapters</w:t>
            </w:r>
          </w:p>
        </w:tc>
        <w:tc>
          <w:tcPr>
            <w:tcW w:type="dxa" w:w="302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procurement_adapter.py</w:t>
            </w:r>
          </w:p>
        </w:tc>
        <w:tc>
          <w:tcPr>
            <w:tcW w:type="dxa" w:w="518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ЕИС, извещения, НМЦК, протоколы, контракты, исполнение.</w:t>
            </w:r>
          </w:p>
        </w:tc>
      </w:tr>
      <w:tr>
        <w:trPr>
          <w:cantSplit/>
        </w:trPr>
        <w:tc>
          <w:tcPr>
            <w:tcW w:type="dxa" w:w="230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klt501/adapters</w:t>
            </w:r>
          </w:p>
        </w:tc>
        <w:tc>
          <w:tcPr>
            <w:tcW w:type="dxa" w:w="302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estimate_adapter.py</w:t>
            </w:r>
          </w:p>
        </w:tc>
        <w:tc>
          <w:tcPr>
            <w:tcW w:type="dxa" w:w="518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Локальные сметы, сводные расчеты, позиции, ресурсы, объемы.</w:t>
            </w:r>
          </w:p>
        </w:tc>
      </w:tr>
      <w:tr>
        <w:trPr>
          <w:cantSplit/>
        </w:trPr>
        <w:tc>
          <w:tcPr>
            <w:tcW w:type="dxa" w:w="230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klt501/adapters</w:t>
            </w:r>
          </w:p>
        </w:tc>
        <w:tc>
          <w:tcPr>
            <w:tcW w:type="dxa" w:w="302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accounting_adapter.py</w:t>
            </w:r>
          </w:p>
        </w:tc>
        <w:tc>
          <w:tcPr>
            <w:tcW w:type="dxa" w:w="518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Баланс, ОФР, проводки, запасы, дебиторка, кредиторка.</w:t>
            </w:r>
          </w:p>
        </w:tc>
      </w:tr>
      <w:tr>
        <w:trPr>
          <w:cantSplit/>
        </w:trPr>
        <w:tc>
          <w:tcPr>
            <w:tcW w:type="dxa" w:w="230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klt501/adapters</w:t>
            </w:r>
          </w:p>
        </w:tc>
        <w:tc>
          <w:tcPr>
            <w:tcW w:type="dxa" w:w="302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bank_adapter.py</w:t>
            </w:r>
          </w:p>
        </w:tc>
        <w:tc>
          <w:tcPr>
            <w:tcW w:type="dxa" w:w="518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Платежи, выписки, гарантии, кредиты, графики.</w:t>
            </w:r>
          </w:p>
        </w:tc>
      </w:tr>
      <w:tr>
        <w:trPr>
          <w:cantSplit/>
        </w:trPr>
        <w:tc>
          <w:tcPr>
            <w:tcW w:type="dxa" w:w="230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klt501/adapters</w:t>
            </w:r>
          </w:p>
        </w:tc>
        <w:tc>
          <w:tcPr>
            <w:tcW w:type="dxa" w:w="302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logistics_adapter.py</w:t>
            </w:r>
          </w:p>
        </w:tc>
        <w:tc>
          <w:tcPr>
            <w:tcW w:type="dxa" w:w="518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Поставки, склады, маршруты, ТТН, списания.</w:t>
            </w:r>
          </w:p>
        </w:tc>
      </w:tr>
      <w:tr>
        <w:trPr>
          <w:cantSplit/>
        </w:trPr>
        <w:tc>
          <w:tcPr>
            <w:tcW w:type="dxa" w:w="230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klt501/audit</w:t>
            </w:r>
          </w:p>
        </w:tc>
        <w:tc>
          <w:tcPr>
            <w:tcW w:type="dxa" w:w="302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gap_detector.py</w:t>
            </w:r>
          </w:p>
        </w:tc>
        <w:tc>
          <w:tcPr>
            <w:tcW w:type="dxa" w:w="518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Разрывы между документами и позициями.</w:t>
            </w:r>
          </w:p>
        </w:tc>
      </w:tr>
      <w:tr>
        <w:trPr>
          <w:cantSplit/>
        </w:trPr>
        <w:tc>
          <w:tcPr>
            <w:tcW w:type="dxa" w:w="230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klt501/audit</w:t>
            </w:r>
          </w:p>
        </w:tc>
        <w:tc>
          <w:tcPr>
            <w:tcW w:type="dxa" w:w="302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overlap_detector.py</w:t>
            </w:r>
          </w:p>
        </w:tc>
        <w:tc>
          <w:tcPr>
            <w:tcW w:type="dxa" w:w="518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Дубли и наложения работ, материалов, платежей.</w:t>
            </w:r>
          </w:p>
        </w:tc>
      </w:tr>
      <w:tr>
        <w:trPr>
          <w:cantSplit/>
        </w:trPr>
        <w:tc>
          <w:tcPr>
            <w:tcW w:type="dxa" w:w="230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klt501/audit</w:t>
            </w:r>
          </w:p>
        </w:tc>
        <w:tc>
          <w:tcPr>
            <w:tcW w:type="dxa" w:w="302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anticorruption_flags.py</w:t>
            </w:r>
          </w:p>
        </w:tc>
        <w:tc>
          <w:tcPr>
            <w:tcW w:type="dxa" w:w="518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Красные флаги без юридического обвинения.</w:t>
            </w:r>
          </w:p>
        </w:tc>
      </w:tr>
      <w:tr>
        <w:trPr>
          <w:cantSplit/>
        </w:trPr>
        <w:tc>
          <w:tcPr>
            <w:tcW w:type="dxa" w:w="230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klt501/reports</w:t>
            </w:r>
          </w:p>
        </w:tc>
        <w:tc>
          <w:tcPr>
            <w:tcW w:type="dxa" w:w="302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lambda_audit_docx.py</w:t>
            </w:r>
          </w:p>
        </w:tc>
        <w:tc>
          <w:tcPr>
            <w:tcW w:type="dxa" w:w="518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Фирменный бланк итогового lambda-чек-аудита.</w:t>
            </w:r>
          </w:p>
        </w:tc>
      </w:tr>
      <w:tr>
        <w:trPr>
          <w:cantSplit/>
        </w:trPr>
        <w:tc>
          <w:tcPr>
            <w:tcW w:type="dxa" w:w="230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klt501/reports</w:t>
            </w:r>
          </w:p>
        </w:tc>
        <w:tc>
          <w:tcPr>
            <w:tcW w:type="dxa" w:w="302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risk_register.py</w:t>
            </w:r>
          </w:p>
        </w:tc>
        <w:tc>
          <w:tcPr>
            <w:tcW w:type="dxa" w:w="518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Реестр проблемных позиций и рекомендаций.</w:t>
            </w:r>
          </w:p>
        </w:tc>
      </w:tr>
    </w:tbl>
    <w:p/>
    <w:p>
      <w:pPr>
        <w:pStyle w:val="Heading1"/>
      </w:pPr>
      <w:r>
        <w:t>4. Нормализованная модель данных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rPr>
          <w:cantSplit/>
        </w:trPr>
        <w:tc>
          <w:tcPr>
            <w:tcW w:type="dxa" w:w="2448"/>
            <w:shd w:fill="D9EAF7"/>
          </w:tcPr>
          <w:p>
            <w:r/>
            <w:r>
              <w:rPr>
                <w:rFonts w:ascii="DejaVu Sans" w:hAnsi="DejaVu Sans"/>
                <w:b/>
                <w:sz w:val="16"/>
              </w:rPr>
              <w:t>Сущность</w:t>
            </w:r>
          </w:p>
        </w:tc>
        <w:tc>
          <w:tcPr>
            <w:tcW w:type="dxa" w:w="7920"/>
            <w:shd w:fill="D9EAF7"/>
          </w:tcPr>
          <w:p>
            <w:r/>
            <w:r>
              <w:rPr>
                <w:rFonts w:ascii="DejaVu Sans" w:hAnsi="DejaVu Sans"/>
                <w:b/>
                <w:sz w:val="16"/>
              </w:rPr>
              <w:t>Ключевые поля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Document</w:t>
            </w:r>
          </w:p>
        </w:tc>
        <w:tc>
          <w:tcPr>
            <w:tcW w:type="dxa" w:w="792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id, type, source_file, hash, pages, date, organization, sign_status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PIX</w:t>
            </w:r>
          </w:p>
        </w:tc>
        <w:tc>
          <w:tcPr>
            <w:tcW w:type="dxa" w:w="792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id, document_id, locator, text, amount, quantity, unit, account, contract_ref, date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PEAKS</w:t>
            </w:r>
          </w:p>
        </w:tc>
        <w:tc>
          <w:tcPr>
            <w:tcW w:type="dxa" w:w="792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pix_id, status, evidence_score, consistency_score, risk_status, reviewer_note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Edge</w:t>
            </w:r>
          </w:p>
        </w:tc>
        <w:tc>
          <w:tcPr>
            <w:tcW w:type="dxa" w:w="792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from_pix, to_pix, relation_type, confidence, evidence_link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Issue</w:t>
            </w:r>
          </w:p>
        </w:tc>
        <w:tc>
          <w:tcPr>
            <w:tcW w:type="dxa" w:w="792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id, pix_id, category, severity, amount, lambda_defect, explanation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Recommendation</w:t>
            </w:r>
          </w:p>
        </w:tc>
        <w:tc>
          <w:tcPr>
            <w:tcW w:type="dxa" w:w="792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issue_id, action_type, request_documents, recalc, exclude, confirm, legal_review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AuditReport</w:t>
            </w:r>
          </w:p>
        </w:tc>
        <w:tc>
          <w:tcPr>
            <w:tcW w:type="dxa" w:w="792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project_id, metrics, risk_register, diagrams, signatures, export_files</w:t>
            </w:r>
          </w:p>
        </w:tc>
      </w:tr>
    </w:tbl>
    <w:p/>
    <w:p>
      <w:r>
        <w:br w:type="page"/>
      </w:r>
    </w:p>
    <w:p>
      <w:pPr>
        <w:pStyle w:val="Heading1"/>
      </w:pPr>
      <w:r>
        <w:t>5. Pipeline обработки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552"/>
        <w:gridCol w:w="3552"/>
        <w:gridCol w:w="3552"/>
      </w:tblGrid>
      <w:tr>
        <w:trPr>
          <w:cantSplit/>
        </w:trPr>
        <w:tc>
          <w:tcPr>
            <w:tcW w:type="dxa" w:w="864"/>
            <w:shd w:fill="D9EAF7"/>
          </w:tcPr>
          <w:p>
            <w:r/>
            <w:r>
              <w:rPr>
                <w:rFonts w:ascii="DejaVu Sans" w:hAnsi="DejaVu Sans"/>
                <w:b/>
                <w:sz w:val="14"/>
              </w:rPr>
              <w:t>Шаг</w:t>
            </w:r>
          </w:p>
        </w:tc>
        <w:tc>
          <w:tcPr>
            <w:tcW w:type="dxa" w:w="3024"/>
            <w:shd w:fill="D9EAF7"/>
          </w:tcPr>
          <w:p>
            <w:r/>
            <w:r>
              <w:rPr>
                <w:rFonts w:ascii="DejaVu Sans" w:hAnsi="DejaVu Sans"/>
                <w:b/>
                <w:sz w:val="14"/>
              </w:rPr>
              <w:t>Операция</w:t>
            </w:r>
          </w:p>
        </w:tc>
        <w:tc>
          <w:tcPr>
            <w:tcW w:type="dxa" w:w="6624"/>
            <w:shd w:fill="D9EAF7"/>
          </w:tcPr>
          <w:p>
            <w:r/>
            <w:r>
              <w:rPr>
                <w:rFonts w:ascii="DejaVu Sans" w:hAnsi="DejaVu Sans"/>
                <w:b/>
                <w:sz w:val="14"/>
              </w:rPr>
              <w:t>Контроль качества</w:t>
            </w:r>
          </w:p>
        </w:tc>
      </w:tr>
      <w:tr>
        <w:trPr>
          <w:cantSplit/>
        </w:trPr>
        <w:tc>
          <w:tcPr>
            <w:tcW w:type="dxa" w:w="86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1</w:t>
            </w:r>
          </w:p>
        </w:tc>
        <w:tc>
          <w:tcPr>
            <w:tcW w:type="dxa" w:w="302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Загрузка архива или файлов</w:t>
            </w:r>
          </w:p>
        </w:tc>
        <w:tc>
          <w:tcPr>
            <w:tcW w:type="dxa" w:w="662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Вычисление hash, журнал загрузки, проверка формата.</w:t>
            </w:r>
          </w:p>
        </w:tc>
      </w:tr>
      <w:tr>
        <w:trPr>
          <w:cantSplit/>
        </w:trPr>
        <w:tc>
          <w:tcPr>
            <w:tcW w:type="dxa" w:w="86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2</w:t>
            </w:r>
          </w:p>
        </w:tc>
        <w:tc>
          <w:tcPr>
            <w:tcW w:type="dxa" w:w="302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Распаковка и классификация документов</w:t>
            </w:r>
          </w:p>
        </w:tc>
        <w:tc>
          <w:tcPr>
            <w:tcW w:type="dxa" w:w="662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Тип документа, источник, дата, версия, организация.</w:t>
            </w:r>
          </w:p>
        </w:tc>
      </w:tr>
      <w:tr>
        <w:trPr>
          <w:cantSplit/>
        </w:trPr>
        <w:tc>
          <w:tcPr>
            <w:tcW w:type="dxa" w:w="86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3</w:t>
            </w:r>
          </w:p>
        </w:tc>
        <w:tc>
          <w:tcPr>
            <w:tcW w:type="dxa" w:w="302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Извлечение таблиц и текста</w:t>
            </w:r>
          </w:p>
        </w:tc>
        <w:tc>
          <w:tcPr>
            <w:tcW w:type="dxa" w:w="662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Проверка количества строк, валюты, единиц измерения, OCR-флаг.</w:t>
            </w:r>
          </w:p>
        </w:tc>
      </w:tr>
      <w:tr>
        <w:trPr>
          <w:cantSplit/>
        </w:trPr>
        <w:tc>
          <w:tcPr>
            <w:tcW w:type="dxa" w:w="86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4</w:t>
            </w:r>
          </w:p>
        </w:tc>
        <w:tc>
          <w:tcPr>
            <w:tcW w:type="dxa" w:w="302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Формирование PIX</w:t>
            </w:r>
          </w:p>
        </w:tc>
        <w:tc>
          <w:tcPr>
            <w:tcW w:type="dxa" w:w="662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Каждая позиция получает источник и локатор: файл/страница/строка.</w:t>
            </w:r>
          </w:p>
        </w:tc>
      </w:tr>
      <w:tr>
        <w:trPr>
          <w:cantSplit/>
        </w:trPr>
        <w:tc>
          <w:tcPr>
            <w:tcW w:type="dxa" w:w="86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5</w:t>
            </w:r>
          </w:p>
        </w:tc>
        <w:tc>
          <w:tcPr>
            <w:tcW w:type="dxa" w:w="302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Назначение PEAKS</w:t>
            </w:r>
          </w:p>
        </w:tc>
        <w:tc>
          <w:tcPr>
            <w:tcW w:type="dxa" w:w="662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Статус подтвержденности, противоречия, дублирования, слабого основания.</w:t>
            </w:r>
          </w:p>
        </w:tc>
      </w:tr>
      <w:tr>
        <w:trPr>
          <w:cantSplit/>
        </w:trPr>
        <w:tc>
          <w:tcPr>
            <w:tcW w:type="dxa" w:w="86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6</w:t>
            </w:r>
          </w:p>
        </w:tc>
        <w:tc>
          <w:tcPr>
            <w:tcW w:type="dxa" w:w="302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Построение графа</w:t>
            </w:r>
          </w:p>
        </w:tc>
        <w:tc>
          <w:tcPr>
            <w:tcW w:type="dxa" w:w="662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Проверка связей: смета -&gt; договор -&gt; акт -&gt; платеж -&gt; учет -&gt; факт.</w:t>
            </w:r>
          </w:p>
        </w:tc>
      </w:tr>
      <w:tr>
        <w:trPr>
          <w:cantSplit/>
        </w:trPr>
        <w:tc>
          <w:tcPr>
            <w:tcW w:type="dxa" w:w="86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7</w:t>
            </w:r>
          </w:p>
        </w:tc>
        <w:tc>
          <w:tcPr>
            <w:tcW w:type="dxa" w:w="302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lambda-расчет</w:t>
            </w:r>
          </w:p>
        </w:tc>
        <w:tc>
          <w:tcPr>
            <w:tcW w:type="dxa" w:w="662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Локальные и глобальные метрики, веса, пороги.</w:t>
            </w:r>
          </w:p>
        </w:tc>
      </w:tr>
      <w:tr>
        <w:trPr>
          <w:cantSplit/>
        </w:trPr>
        <w:tc>
          <w:tcPr>
            <w:tcW w:type="dxa" w:w="86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8</w:t>
            </w:r>
          </w:p>
        </w:tc>
        <w:tc>
          <w:tcPr>
            <w:tcW w:type="dxa" w:w="302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Детекторы риска</w:t>
            </w:r>
          </w:p>
        </w:tc>
        <w:tc>
          <w:tcPr>
            <w:tcW w:type="dxa" w:w="662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Gap, Overlap, Redundancy, WeakEvidence, Overprice, Underprice, Collapse, ACR.</w:t>
            </w:r>
          </w:p>
        </w:tc>
      </w:tr>
      <w:tr>
        <w:trPr>
          <w:cantSplit/>
        </w:trPr>
        <w:tc>
          <w:tcPr>
            <w:tcW w:type="dxa" w:w="86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9</w:t>
            </w:r>
          </w:p>
        </w:tc>
        <w:tc>
          <w:tcPr>
            <w:tcW w:type="dxa" w:w="302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Формирование отчета</w:t>
            </w:r>
          </w:p>
        </w:tc>
        <w:tc>
          <w:tcPr>
            <w:tcW w:type="dxa" w:w="662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DOCX/PDF, реестр позиций, диаграммы, подпись проверяющего.</w:t>
            </w:r>
          </w:p>
        </w:tc>
      </w:tr>
    </w:tbl>
    <w:p/>
    <w:p>
      <w:pPr>
        <w:pStyle w:val="Heading1"/>
      </w:pPr>
      <w:r>
        <w:t>6. CLI, API и интерфейс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656"/>
      </w:tblGrid>
      <w:tr>
        <w:trPr>
          <w:cantSplit/>
        </w:trPr>
        <w:tc>
          <w:tcPr>
            <w:tcW w:type="dxa" w:w="10656"/>
            <w:shd w:fill="EAF2F8"/>
          </w:tcPr>
          <w:p>
            <w:pPr>
              <w:jc w:val="left"/>
            </w:pPr>
            <w:r>
              <w:rPr>
                <w:rFonts w:ascii="DejaVu Sans" w:hAnsi="DejaVu Sans"/>
                <w:b/>
                <w:sz w:val="18"/>
              </w:rPr>
              <w:t>CLI пример:</w:t>
              <w:br/>
              <w:t>python -m klt501.app --input project_package.zip --profile construction_procurement --out audit_output --lang ru --checker "ФИО / логин"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552"/>
        <w:gridCol w:w="3552"/>
        <w:gridCol w:w="3552"/>
      </w:tblGrid>
      <w:tr>
        <w:trPr>
          <w:cantSplit/>
        </w:trPr>
        <w:tc>
          <w:tcPr>
            <w:tcW w:type="dxa" w:w="3024"/>
            <w:shd w:fill="D9EAF7"/>
          </w:tcPr>
          <w:p>
            <w:r/>
            <w:r>
              <w:rPr>
                <w:rFonts w:ascii="DejaVu Sans" w:hAnsi="DejaVu Sans"/>
                <w:b/>
                <w:sz w:val="16"/>
              </w:rPr>
              <w:t>Endpoint</w:t>
            </w:r>
          </w:p>
        </w:tc>
        <w:tc>
          <w:tcPr>
            <w:tcW w:type="dxa" w:w="1440"/>
            <w:shd w:fill="D9EAF7"/>
          </w:tcPr>
          <w:p>
            <w:r/>
            <w:r>
              <w:rPr>
                <w:rFonts w:ascii="DejaVu Sans" w:hAnsi="DejaVu Sans"/>
                <w:b/>
                <w:sz w:val="16"/>
              </w:rPr>
              <w:t>Метод</w:t>
            </w:r>
          </w:p>
        </w:tc>
        <w:tc>
          <w:tcPr>
            <w:tcW w:type="dxa" w:w="6048"/>
            <w:shd w:fill="D9EAF7"/>
          </w:tcPr>
          <w:p>
            <w:r/>
            <w:r>
              <w:rPr>
                <w:rFonts w:ascii="DejaVu Sans" w:hAnsi="DejaVu Sans"/>
                <w:b/>
                <w:sz w:val="16"/>
              </w:rPr>
              <w:t>Назначение</w:t>
            </w:r>
          </w:p>
        </w:tc>
      </w:tr>
      <w:tr>
        <w:trPr>
          <w:cantSplit/>
        </w:trPr>
        <w:tc>
          <w:tcPr>
            <w:tcW w:type="dxa" w:w="3024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/api/v1/audits</w:t>
            </w:r>
          </w:p>
        </w:tc>
        <w:tc>
          <w:tcPr>
            <w:tcW w:type="dxa" w:w="144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POST</w:t>
            </w:r>
          </w:p>
        </w:tc>
        <w:tc>
          <w:tcPr>
            <w:tcW w:type="dxa" w:w="604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Создать проверку и загрузить пакет.</w:t>
            </w:r>
          </w:p>
        </w:tc>
      </w:tr>
      <w:tr>
        <w:trPr>
          <w:cantSplit/>
        </w:trPr>
        <w:tc>
          <w:tcPr>
            <w:tcW w:type="dxa" w:w="3024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/api/v1/audits/{id}/status</w:t>
            </w:r>
          </w:p>
        </w:tc>
        <w:tc>
          <w:tcPr>
            <w:tcW w:type="dxa" w:w="144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GET</w:t>
            </w:r>
          </w:p>
        </w:tc>
        <w:tc>
          <w:tcPr>
            <w:tcW w:type="dxa" w:w="604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Статус обработки, ошибки, прогресс.</w:t>
            </w:r>
          </w:p>
        </w:tc>
      </w:tr>
      <w:tr>
        <w:trPr>
          <w:cantSplit/>
        </w:trPr>
        <w:tc>
          <w:tcPr>
            <w:tcW w:type="dxa" w:w="3024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/api/v1/audits/{id}/issues</w:t>
            </w:r>
          </w:p>
        </w:tc>
        <w:tc>
          <w:tcPr>
            <w:tcW w:type="dxa" w:w="144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GET</w:t>
            </w:r>
          </w:p>
        </w:tc>
        <w:tc>
          <w:tcPr>
            <w:tcW w:type="dxa" w:w="604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Реестр проблемных позиций.</w:t>
            </w:r>
          </w:p>
        </w:tc>
      </w:tr>
      <w:tr>
        <w:trPr>
          <w:cantSplit/>
        </w:trPr>
        <w:tc>
          <w:tcPr>
            <w:tcW w:type="dxa" w:w="3024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/api/v1/audits/{id}/report.docx</w:t>
            </w:r>
          </w:p>
        </w:tc>
        <w:tc>
          <w:tcPr>
            <w:tcW w:type="dxa" w:w="144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GET</w:t>
            </w:r>
          </w:p>
        </w:tc>
        <w:tc>
          <w:tcPr>
            <w:tcW w:type="dxa" w:w="604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Скачать итоговый DOCX.</w:t>
            </w:r>
          </w:p>
        </w:tc>
      </w:tr>
      <w:tr>
        <w:trPr>
          <w:cantSplit/>
        </w:trPr>
        <w:tc>
          <w:tcPr>
            <w:tcW w:type="dxa" w:w="3024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/api/v1/audits/{id}/report.pdf</w:t>
            </w:r>
          </w:p>
        </w:tc>
        <w:tc>
          <w:tcPr>
            <w:tcW w:type="dxa" w:w="144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GET</w:t>
            </w:r>
          </w:p>
        </w:tc>
        <w:tc>
          <w:tcPr>
            <w:tcW w:type="dxa" w:w="604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Скачать итоговый PDF.</w:t>
            </w:r>
          </w:p>
        </w:tc>
      </w:tr>
      <w:tr>
        <w:trPr>
          <w:cantSplit/>
        </w:trPr>
        <w:tc>
          <w:tcPr>
            <w:tcW w:type="dxa" w:w="3024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/api/v1/profiles</w:t>
            </w:r>
          </w:p>
        </w:tc>
        <w:tc>
          <w:tcPr>
            <w:tcW w:type="dxa" w:w="144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GET/POST</w:t>
            </w:r>
          </w:p>
        </w:tc>
        <w:tc>
          <w:tcPr>
            <w:tcW w:type="dxa" w:w="604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Профили весов и нормативных требований.</w:t>
            </w:r>
          </w:p>
        </w:tc>
      </w:tr>
    </w:tbl>
    <w:p/>
    <w:p>
      <w:pPr>
        <w:pStyle w:val="Heading1"/>
      </w:pPr>
      <w:r>
        <w:t>7. Требования к трехъязычному интерфейсу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rPr>
          <w:cantSplit/>
        </w:trPr>
        <w:tc>
          <w:tcPr>
            <w:tcW w:type="dxa" w:w="1440"/>
            <w:shd w:fill="D9EAF7"/>
          </w:tcPr>
          <w:p>
            <w:r/>
            <w:r>
              <w:rPr>
                <w:rFonts w:ascii="DejaVu Sans" w:hAnsi="DejaVu Sans"/>
                <w:b/>
                <w:sz w:val="16"/>
              </w:rPr>
              <w:t>Язык</w:t>
            </w:r>
          </w:p>
        </w:tc>
        <w:tc>
          <w:tcPr>
            <w:tcW w:type="dxa" w:w="8640"/>
            <w:shd w:fill="D9EAF7"/>
          </w:tcPr>
          <w:p>
            <w:r/>
            <w:r>
              <w:rPr>
                <w:rFonts w:ascii="DejaVu Sans" w:hAnsi="DejaVu Sans"/>
                <w:b/>
                <w:sz w:val="16"/>
              </w:rPr>
              <w:t>Что локализуется</w:t>
            </w:r>
          </w:p>
        </w:tc>
      </w:tr>
      <w:tr>
        <w:trPr>
          <w:cantSplit/>
        </w:trPr>
        <w:tc>
          <w:tcPr>
            <w:tcW w:type="dxa" w:w="144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RU</w:t>
            </w:r>
          </w:p>
        </w:tc>
        <w:tc>
          <w:tcPr>
            <w:tcW w:type="dxa" w:w="864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Основной интерфейс, документы для российских ведомственных пилотов, реестр рисков.</w:t>
            </w:r>
          </w:p>
        </w:tc>
      </w:tr>
      <w:tr>
        <w:trPr>
          <w:cantSplit/>
        </w:trPr>
        <w:tc>
          <w:tcPr>
            <w:tcW w:type="dxa" w:w="144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EN</w:t>
            </w:r>
          </w:p>
        </w:tc>
        <w:tc>
          <w:tcPr>
            <w:tcW w:type="dxa" w:w="864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Инвесторские и международные демонстрации, API documentation, export labels.</w:t>
            </w:r>
          </w:p>
        </w:tc>
      </w:tr>
      <w:tr>
        <w:trPr>
          <w:cantSplit/>
        </w:trPr>
        <w:tc>
          <w:tcPr>
            <w:tcW w:type="dxa" w:w="144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ZH</w:t>
            </w:r>
          </w:p>
        </w:tc>
        <w:tc>
          <w:tcPr>
            <w:tcW w:type="dxa" w:w="864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Интерфейс и отчеты для китайских текстовых и проектных кейсов; словарь терминов выносится в отдельный ресурс.</w:t>
            </w:r>
          </w:p>
        </w:tc>
      </w:tr>
    </w:tbl>
    <w:p/>
    <w:p>
      <w:r>
        <w:br w:type="page"/>
      </w:r>
    </w:p>
    <w:p>
      <w:pPr>
        <w:pStyle w:val="Heading1"/>
      </w:pPr>
      <w:r>
        <w:t>8. Отчетность и фирменный бланк</w:t>
      </w:r>
    </w:p>
    <w:p>
      <w:pPr>
        <w:pStyle w:val="ListBullet"/>
      </w:pPr>
      <w:r>
        <w:rPr>
          <w:rFonts w:ascii="DejaVu Sans" w:hAnsi="DejaVu Sans"/>
          <w:sz w:val="18"/>
        </w:rPr>
        <w:t>Каждый отчет должен содержать ID проверки, дату, перечень файлов, hash-паспорта, проверяющего и электронный адрес.</w:t>
      </w:r>
    </w:p>
    <w:p>
      <w:pPr>
        <w:pStyle w:val="ListBullet"/>
      </w:pPr>
      <w:r>
        <w:rPr>
          <w:rFonts w:ascii="DejaVu Sans" w:hAnsi="DejaVu Sans"/>
          <w:sz w:val="18"/>
        </w:rPr>
        <w:t>Реестр проблемных позиций должен указывать точное место: документ, страница, таблица, строка, позиция, сумма.</w:t>
      </w:r>
    </w:p>
    <w:p>
      <w:pPr>
        <w:pStyle w:val="ListBullet"/>
      </w:pPr>
      <w:r>
        <w:rPr>
          <w:rFonts w:ascii="DejaVu Sans" w:hAnsi="DejaVu Sans"/>
          <w:sz w:val="18"/>
        </w:rPr>
        <w:t>Антикоррупционный раздел формулируется как риск-флаги и рекомендации к проверке, без обвинения в совершении правонарушения.</w:t>
      </w:r>
    </w:p>
    <w:p>
      <w:pPr>
        <w:pStyle w:val="ListBullet"/>
      </w:pPr>
      <w:r>
        <w:rPr>
          <w:rFonts w:ascii="DejaVu Sans" w:hAnsi="DejaVu Sans"/>
          <w:sz w:val="18"/>
        </w:rPr>
        <w:t>Для каждой рекомендации указывается действие: запросить документ, пересчитать, исключить, подтвердить, вынести на юридическую проверку.</w:t>
      </w:r>
    </w:p>
    <w:p>
      <w:r>
        <w:br w:type="page"/>
      </w:r>
    </w:p>
    <w:p>
      <w:pPr>
        <w:pStyle w:val="Heading1"/>
      </w:pPr>
      <w:r>
        <w:t>9. Тесты и критерии приемки Alpha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rPr>
          <w:cantSplit/>
        </w:trPr>
        <w:tc>
          <w:tcPr>
            <w:tcW w:type="dxa" w:w="2880"/>
            <w:shd w:fill="D9EAF7"/>
          </w:tcPr>
          <w:p>
            <w:r/>
            <w:r>
              <w:rPr>
                <w:rFonts w:ascii="DejaVu Sans" w:hAnsi="DejaVu Sans"/>
                <w:b/>
                <w:sz w:val="16"/>
              </w:rPr>
              <w:t>Тест</w:t>
            </w:r>
          </w:p>
        </w:tc>
        <w:tc>
          <w:tcPr>
            <w:tcW w:type="dxa" w:w="7488"/>
            <w:shd w:fill="D9EAF7"/>
          </w:tcPr>
          <w:p>
            <w:r/>
            <w:r>
              <w:rPr>
                <w:rFonts w:ascii="DejaVu Sans" w:hAnsi="DejaVu Sans"/>
                <w:b/>
                <w:sz w:val="16"/>
              </w:rPr>
              <w:t>Критерий приемки</w:t>
            </w:r>
          </w:p>
        </w:tc>
      </w:tr>
      <w:tr>
        <w:trPr>
          <w:cantSplit/>
        </w:trPr>
        <w:tc>
          <w:tcPr>
            <w:tcW w:type="dxa" w:w="288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selftest core</w:t>
            </w:r>
          </w:p>
        </w:tc>
        <w:tc>
          <w:tcPr>
            <w:tcW w:type="dxa" w:w="748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Расчет lambda_i, Delta_i, Auth_i проходит на тестовом наборе без ошибок.</w:t>
            </w:r>
          </w:p>
        </w:tc>
      </w:tr>
      <w:tr>
        <w:trPr>
          <w:cantSplit/>
        </w:trPr>
        <w:tc>
          <w:tcPr>
            <w:tcW w:type="dxa" w:w="288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batch ZIP</w:t>
            </w:r>
          </w:p>
        </w:tc>
        <w:tc>
          <w:tcPr>
            <w:tcW w:type="dxa" w:w="748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Архив с 20+ файлами распакован, классифицирован, обработан.</w:t>
            </w:r>
          </w:p>
        </w:tc>
      </w:tr>
      <w:tr>
        <w:trPr>
          <w:cantSplit/>
        </w:trPr>
        <w:tc>
          <w:tcPr>
            <w:tcW w:type="dxa" w:w="288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table extraction</w:t>
            </w:r>
          </w:p>
        </w:tc>
        <w:tc>
          <w:tcPr>
            <w:tcW w:type="dxa" w:w="748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Не менее 95% строк демо-сметы попали в PIX с локаторами.</w:t>
            </w:r>
          </w:p>
        </w:tc>
      </w:tr>
      <w:tr>
        <w:trPr>
          <w:cantSplit/>
        </w:trPr>
        <w:tc>
          <w:tcPr>
            <w:tcW w:type="dxa" w:w="288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graph integrity</w:t>
            </w:r>
          </w:p>
        </w:tc>
        <w:tc>
          <w:tcPr>
            <w:tcW w:type="dxa" w:w="748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Все основные цепочки связей строятся или получают явный статус missing.</w:t>
            </w:r>
          </w:p>
        </w:tc>
      </w:tr>
      <w:tr>
        <w:trPr>
          <w:cantSplit/>
        </w:trPr>
        <w:tc>
          <w:tcPr>
            <w:tcW w:type="dxa" w:w="288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risk register</w:t>
            </w:r>
          </w:p>
        </w:tc>
        <w:tc>
          <w:tcPr>
            <w:tcW w:type="dxa" w:w="748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Для каждой найденной проблемы есть категория, позиция, сумма, объяснение, рекомендация.</w:t>
            </w:r>
          </w:p>
        </w:tc>
      </w:tr>
      <w:tr>
        <w:trPr>
          <w:cantSplit/>
        </w:trPr>
        <w:tc>
          <w:tcPr>
            <w:tcW w:type="dxa" w:w="288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report render</w:t>
            </w:r>
          </w:p>
        </w:tc>
        <w:tc>
          <w:tcPr>
            <w:tcW w:type="dxa" w:w="748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DOCX/PDF отчет читается, таблицы не ломаются, черных квадратов нет.</w:t>
            </w:r>
          </w:p>
        </w:tc>
      </w:tr>
      <w:tr>
        <w:trPr>
          <w:cantSplit/>
        </w:trPr>
        <w:tc>
          <w:tcPr>
            <w:tcW w:type="dxa" w:w="288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language QA</w:t>
            </w:r>
          </w:p>
        </w:tc>
        <w:tc>
          <w:tcPr>
            <w:tcW w:type="dxa" w:w="748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RU/EN/ZH строки интерфейса присутствуют и не смешиваются.</w:t>
            </w:r>
          </w:p>
        </w:tc>
      </w:tr>
    </w:tbl>
    <w:p/>
    <w:p>
      <w:pPr>
        <w:pStyle w:val="Heading1"/>
      </w:pPr>
      <w:r>
        <w:t>10. Риски реализации и roadmap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rPr>
          <w:cantSplit/>
        </w:trPr>
        <w:tc>
          <w:tcPr>
            <w:tcW w:type="dxa" w:w="3456"/>
            <w:shd w:fill="D9EAF7"/>
          </w:tcPr>
          <w:p>
            <w:r/>
            <w:r>
              <w:rPr>
                <w:rFonts w:ascii="DejaVu Sans" w:hAnsi="DejaVu Sans"/>
                <w:b/>
                <w:sz w:val="16"/>
              </w:rPr>
              <w:t>Риск</w:t>
            </w:r>
          </w:p>
        </w:tc>
        <w:tc>
          <w:tcPr>
            <w:tcW w:type="dxa" w:w="6912"/>
            <w:shd w:fill="D9EAF7"/>
          </w:tcPr>
          <w:p>
            <w:r/>
            <w:r>
              <w:rPr>
                <w:rFonts w:ascii="DejaVu Sans" w:hAnsi="DejaVu Sans"/>
                <w:b/>
                <w:sz w:val="16"/>
              </w:rPr>
              <w:t>Решение</w:t>
            </w:r>
          </w:p>
        </w:tc>
      </w:tr>
      <w:tr>
        <w:trPr>
          <w:cantSplit/>
        </w:trPr>
        <w:tc>
          <w:tcPr>
            <w:tcW w:type="dxa" w:w="3456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Сканированные PDF без слоя текста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OCR-модуль и явный флаг доверия к извлечению.</w:t>
            </w:r>
          </w:p>
        </w:tc>
      </w:tr>
      <w:tr>
        <w:trPr>
          <w:cantSplit/>
        </w:trPr>
        <w:tc>
          <w:tcPr>
            <w:tcW w:type="dxa" w:w="3456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Разнородные сметные формы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Профили извлечения и ручная верификация на пилоте.</w:t>
            </w:r>
          </w:p>
        </w:tc>
      </w:tr>
      <w:tr>
        <w:trPr>
          <w:cantSplit/>
        </w:trPr>
        <w:tc>
          <w:tcPr>
            <w:tcW w:type="dxa" w:w="3456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DWG как закрытый формат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Маршрут DWG-&gt;DXF или внешний SDK.</w:t>
            </w:r>
          </w:p>
        </w:tc>
      </w:tr>
      <w:tr>
        <w:trPr>
          <w:cantSplit/>
        </w:trPr>
        <w:tc>
          <w:tcPr>
            <w:tcW w:type="dxa" w:w="3456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Неполные открытые данные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Режим неполного доказательного графа с пометкой MissingEvidence.</w:t>
            </w:r>
          </w:p>
        </w:tc>
      </w:tr>
      <w:tr>
        <w:trPr>
          <w:cantSplit/>
        </w:trPr>
        <w:tc>
          <w:tcPr>
            <w:tcW w:type="dxa" w:w="3456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Юридическая чувствительность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Формулировки только как аналитические признаки и рекомендации к проверке.</w:t>
            </w:r>
          </w:p>
        </w:tc>
      </w:tr>
    </w:tbl>
    <w:p/>
    <w:sectPr w:rsidR="00FC693F" w:rsidRPr="0006063C" w:rsidSect="00034616">
      <w:headerReference w:type="default" r:id="rId9"/>
      <w:footerReference w:type="default" r:id="rId10"/>
      <w:pgSz w:w="12240" w:h="15840"/>
      <w:pgMar w:top="792" w:right="792" w:bottom="792" w:left="792" w:header="360" w:footer="36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DejaVu Sans" w:hAnsi="DejaVu Sans"/>
        <w:color w:val="6E6E6E"/>
        <w:sz w:val="14"/>
      </w:rPr>
      <w:t>Рекомендательный аналитический документ. Не является юридическим обвинением или заключением экспертизы без экспертной верификации.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rFonts w:ascii="DejaVu Sans" w:hAnsi="DejaVu Sans"/>
        <w:color w:val="505050"/>
        <w:sz w:val="16"/>
      </w:rPr>
      <w:t>KLT 5.01 Alpha | Kurpishev Lambda Truth | www.wpc-wpo.narod.ru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DejaVu Sans" w:hAnsi="DejaVu Sans" w:eastAsia="DejaVu San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DejaVu Sans" w:hAnsi="DejaVu Sans" w:eastAsia="DejaVu Sans"/>
      <w:b/>
      <w:bCs/>
      <w:color w:val="143C7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DejaVu Sans" w:hAnsi="DejaVu Sans" w:eastAsia="DejaVu Sans"/>
      <w:b/>
      <w:bCs/>
      <w:color w:val="143C78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DejaVu Sans" w:hAnsi="DejaVu Sans" w:eastAsia="DejaVu Sans"/>
      <w:b/>
      <w:bCs/>
      <w:color w:val="143C7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DejaVu Sans" w:hAnsi="DejaVu Sans" w:eastAsia="DejaVu Sans"/>
      <w:color w:val="143C78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rFonts w:ascii="DejaVu Sans" w:hAnsi="DejaVu Sans" w:eastAsia="DejaVu Sans"/>
      <w:sz w:val="18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